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A9" w:rsidRDefault="008136A9" w:rsidP="008136A9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Círculo Operário Leopoldense - COL</w:t>
      </w:r>
    </w:p>
    <w:p w:rsidR="008136A9" w:rsidRDefault="008136A9" w:rsidP="008136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CNPJ: 96.740.238/0001-22</w:t>
      </w:r>
    </w:p>
    <w:p w:rsidR="008136A9" w:rsidRDefault="008136A9" w:rsidP="008136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Demonstrações Financeiras Levantadas em 31 de </w:t>
      </w:r>
      <w:r w:rsidR="008F58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ezembro de 201</w:t>
      </w:r>
      <w:r w:rsidR="00F2635E">
        <w:rPr>
          <w:rFonts w:ascii="Arial" w:hAnsi="Arial" w:cs="Arial"/>
          <w:b/>
        </w:rPr>
        <w:t>9</w:t>
      </w:r>
    </w:p>
    <w:p w:rsidR="00FB23EE" w:rsidRDefault="00FB23EE" w:rsidP="008136A9">
      <w:pPr>
        <w:spacing w:line="276" w:lineRule="auto"/>
        <w:jc w:val="center"/>
        <w:rPr>
          <w:rFonts w:ascii="Arial" w:hAnsi="Arial" w:cs="Arial"/>
          <w:b/>
        </w:rPr>
      </w:pPr>
    </w:p>
    <w:p w:rsidR="008136A9" w:rsidRDefault="008136A9" w:rsidP="008136A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– Balanço Patrimonial</w:t>
      </w:r>
    </w:p>
    <w:p w:rsidR="008136A9" w:rsidRDefault="008136A9" w:rsidP="008136A9">
      <w:pPr>
        <w:ind w:left="-1418" w:firstLine="1418"/>
        <w:jc w:val="center"/>
        <w:rPr>
          <w:rFonts w:ascii="Arial" w:hAnsi="Arial" w:cs="Arial"/>
          <w:b/>
          <w:sz w:val="16"/>
          <w:szCs w:val="16"/>
        </w:rPr>
      </w:pPr>
      <w:r w:rsidRPr="00BB525D">
        <w:rPr>
          <w:rFonts w:ascii="Arial" w:hAnsi="Arial" w:cs="Arial"/>
          <w:b/>
          <w:sz w:val="16"/>
          <w:szCs w:val="16"/>
        </w:rPr>
        <w:t>(VALORES EM REAIS)</w:t>
      </w:r>
    </w:p>
    <w:p w:rsidR="008136A9" w:rsidRDefault="00246F54" w:rsidP="0072782F">
      <w:pPr>
        <w:jc w:val="center"/>
        <w:rPr>
          <w:rFonts w:ascii="Arial" w:hAnsi="Arial" w:cs="Arial"/>
          <w:b/>
        </w:rPr>
      </w:pPr>
      <w:r w:rsidRPr="005E1CDF">
        <w:rPr>
          <w:rFonts w:ascii="Arial" w:hAnsi="Arial" w:cs="Arial"/>
          <w:b/>
          <w:noProof/>
        </w:rPr>
      </w:r>
      <w:r w:rsidR="004B2C91" w:rsidRPr="005E1CDF">
        <w:rPr>
          <w:rFonts w:ascii="Arial" w:hAnsi="Arial" w:cs="Arial"/>
          <w:b/>
        </w:rPr>
        <w:object w:dxaOrig="7502" w:dyaOrig="10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pt;height:478.15pt" o:ole="">
            <v:imagedata r:id="rId8" o:title=""/>
          </v:shape>
          <o:OLEObject Type="Embed" ProgID="Excel.Sheet.12" ShapeID="_x0000_i1025" DrawAspect="Content" ObjectID="_1658319086" r:id="rId9"/>
        </w:object>
      </w:r>
    </w:p>
    <w:p w:rsidR="001C52A8" w:rsidRDefault="001C52A8" w:rsidP="007620F1">
      <w:pPr>
        <w:jc w:val="center"/>
        <w:rPr>
          <w:rFonts w:ascii="Arial" w:hAnsi="Arial" w:cs="Arial"/>
          <w:b/>
        </w:rPr>
      </w:pPr>
    </w:p>
    <w:p w:rsidR="0072782F" w:rsidRDefault="0072782F" w:rsidP="007620F1">
      <w:pPr>
        <w:jc w:val="center"/>
        <w:rPr>
          <w:rFonts w:ascii="Arial" w:hAnsi="Arial" w:cs="Arial"/>
          <w:b/>
        </w:rPr>
      </w:pPr>
    </w:p>
    <w:p w:rsidR="000104A9" w:rsidRDefault="000104A9" w:rsidP="007620F1">
      <w:pPr>
        <w:jc w:val="center"/>
        <w:rPr>
          <w:rFonts w:ascii="Arial" w:hAnsi="Arial" w:cs="Arial"/>
          <w:b/>
        </w:rPr>
      </w:pPr>
    </w:p>
    <w:p w:rsidR="007620F1" w:rsidRDefault="002063EF" w:rsidP="007620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456664">
        <w:rPr>
          <w:rFonts w:ascii="Arial" w:hAnsi="Arial" w:cs="Arial"/>
          <w:b/>
        </w:rPr>
        <w:t xml:space="preserve">Maria </w:t>
      </w:r>
      <w:r w:rsidR="00F55F04">
        <w:rPr>
          <w:rFonts w:ascii="Arial" w:hAnsi="Arial" w:cs="Arial"/>
          <w:b/>
        </w:rPr>
        <w:t>de Fátima Pranke</w:t>
      </w:r>
      <w:r w:rsidR="007620F1">
        <w:rPr>
          <w:rFonts w:ascii="Arial" w:hAnsi="Arial" w:cs="Arial"/>
          <w:b/>
        </w:rPr>
        <w:t xml:space="preserve">                   Ademir Schmidt</w:t>
      </w:r>
    </w:p>
    <w:p w:rsidR="008F58F5" w:rsidRDefault="002063EF" w:rsidP="007620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456664">
        <w:rPr>
          <w:rFonts w:ascii="Arial" w:hAnsi="Arial" w:cs="Arial"/>
          <w:b/>
        </w:rPr>
        <w:t>Representante Legal</w:t>
      </w:r>
      <w:r>
        <w:rPr>
          <w:rFonts w:ascii="Arial" w:hAnsi="Arial" w:cs="Arial"/>
          <w:b/>
        </w:rPr>
        <w:t xml:space="preserve">                    </w:t>
      </w:r>
      <w:r w:rsidR="007620F1">
        <w:rPr>
          <w:rFonts w:ascii="Arial" w:hAnsi="Arial" w:cs="Arial"/>
          <w:b/>
        </w:rPr>
        <w:t xml:space="preserve">Tc.crcrs - 40784  </w:t>
      </w:r>
    </w:p>
    <w:p w:rsidR="008F58F5" w:rsidRDefault="008F58F5" w:rsidP="007620F1">
      <w:pPr>
        <w:rPr>
          <w:rFonts w:ascii="Arial" w:hAnsi="Arial" w:cs="Arial"/>
          <w:b/>
        </w:rPr>
      </w:pPr>
    </w:p>
    <w:p w:rsidR="000104A9" w:rsidRDefault="000104A9" w:rsidP="007620F1">
      <w:pPr>
        <w:rPr>
          <w:rFonts w:ascii="Arial" w:hAnsi="Arial" w:cs="Arial"/>
          <w:b/>
        </w:rPr>
      </w:pPr>
    </w:p>
    <w:p w:rsidR="000104A9" w:rsidRDefault="000104A9" w:rsidP="007620F1">
      <w:pPr>
        <w:rPr>
          <w:rFonts w:ascii="Arial" w:hAnsi="Arial" w:cs="Arial"/>
          <w:b/>
        </w:rPr>
      </w:pPr>
    </w:p>
    <w:p w:rsidR="000104A9" w:rsidRDefault="000104A9" w:rsidP="007620F1">
      <w:pPr>
        <w:rPr>
          <w:rFonts w:ascii="Arial" w:hAnsi="Arial" w:cs="Arial"/>
          <w:b/>
        </w:rPr>
      </w:pPr>
    </w:p>
    <w:p w:rsidR="008F58F5" w:rsidRDefault="008F58F5" w:rsidP="008F58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Círculo Operário Leopoldense - COL</w:t>
      </w:r>
    </w:p>
    <w:p w:rsidR="008F58F5" w:rsidRDefault="008F58F5" w:rsidP="008F58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CNPJ: 96.740.238/0001-22</w:t>
      </w:r>
    </w:p>
    <w:p w:rsidR="008F58F5" w:rsidRDefault="008F58F5" w:rsidP="008F58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Demonstrações Financeiras Levantadas em 31 de dezembro de 201</w:t>
      </w:r>
      <w:r w:rsidR="00F441A5">
        <w:rPr>
          <w:rFonts w:ascii="Arial" w:hAnsi="Arial" w:cs="Arial"/>
          <w:b/>
        </w:rPr>
        <w:t>9</w:t>
      </w:r>
    </w:p>
    <w:p w:rsidR="008F58F5" w:rsidRDefault="008F58F5" w:rsidP="008F58F5">
      <w:pPr>
        <w:spacing w:line="276" w:lineRule="auto"/>
        <w:jc w:val="center"/>
        <w:rPr>
          <w:rFonts w:ascii="Arial" w:hAnsi="Arial" w:cs="Arial"/>
          <w:b/>
        </w:rPr>
      </w:pPr>
    </w:p>
    <w:p w:rsidR="008F58F5" w:rsidRDefault="008F58F5" w:rsidP="008F58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– Balanço Patrimonial</w:t>
      </w:r>
    </w:p>
    <w:p w:rsidR="008F58F5" w:rsidRDefault="008F58F5" w:rsidP="008F58F5">
      <w:pPr>
        <w:ind w:left="-1418" w:firstLine="1418"/>
        <w:jc w:val="center"/>
        <w:rPr>
          <w:rFonts w:ascii="Arial" w:hAnsi="Arial" w:cs="Arial"/>
          <w:b/>
          <w:sz w:val="16"/>
          <w:szCs w:val="16"/>
        </w:rPr>
      </w:pPr>
      <w:r w:rsidRPr="00BB525D">
        <w:rPr>
          <w:rFonts w:ascii="Arial" w:hAnsi="Arial" w:cs="Arial"/>
          <w:b/>
          <w:sz w:val="16"/>
          <w:szCs w:val="16"/>
        </w:rPr>
        <w:t>(VALORES EM REAIS)</w:t>
      </w:r>
    </w:p>
    <w:p w:rsidR="008F58F5" w:rsidRDefault="00246F54" w:rsidP="008F58F5">
      <w:pPr>
        <w:jc w:val="center"/>
        <w:rPr>
          <w:rFonts w:ascii="Arial" w:hAnsi="Arial" w:cs="Arial"/>
          <w:b/>
        </w:rPr>
      </w:pPr>
      <w:r w:rsidRPr="00E448DA">
        <w:rPr>
          <w:rFonts w:ascii="Arial" w:hAnsi="Arial" w:cs="Arial"/>
          <w:b/>
          <w:noProof/>
          <w:sz w:val="23"/>
          <w:szCs w:val="23"/>
        </w:rPr>
      </w:r>
      <w:r w:rsidR="004B2C91" w:rsidRPr="00E448DA">
        <w:rPr>
          <w:rFonts w:ascii="Arial" w:hAnsi="Arial" w:cs="Arial"/>
          <w:b/>
          <w:sz w:val="23"/>
          <w:szCs w:val="23"/>
        </w:rPr>
        <w:object w:dxaOrig="8033" w:dyaOrig="6699">
          <v:shape id="_x0000_i1026" type="#_x0000_t75" style="width:363.3pt;height:374.3pt" o:ole="">
            <v:imagedata r:id="rId10" o:title=""/>
          </v:shape>
          <o:OLEObject Type="Embed" ProgID="Excel.Sheet.12" ShapeID="_x0000_i1026" DrawAspect="Content" ObjectID="_1658319087" r:id="rId11"/>
        </w:object>
      </w:r>
    </w:p>
    <w:p w:rsidR="008F58F5" w:rsidRDefault="008F58F5" w:rsidP="008F58F5">
      <w:pPr>
        <w:jc w:val="center"/>
        <w:rPr>
          <w:rFonts w:ascii="Arial" w:hAnsi="Arial" w:cs="Arial"/>
          <w:b/>
        </w:rPr>
      </w:pPr>
    </w:p>
    <w:p w:rsidR="008F58F5" w:rsidRDefault="008F58F5" w:rsidP="008F58F5">
      <w:pPr>
        <w:jc w:val="center"/>
        <w:rPr>
          <w:rFonts w:ascii="Arial" w:hAnsi="Arial" w:cs="Arial"/>
          <w:b/>
        </w:rPr>
      </w:pPr>
    </w:p>
    <w:p w:rsidR="008F58F5" w:rsidRDefault="008F58F5" w:rsidP="008F58F5">
      <w:pPr>
        <w:jc w:val="center"/>
        <w:rPr>
          <w:rFonts w:ascii="Arial" w:hAnsi="Arial" w:cs="Arial"/>
          <w:b/>
        </w:rPr>
      </w:pPr>
    </w:p>
    <w:p w:rsidR="008F58F5" w:rsidRDefault="008F58F5" w:rsidP="008F58F5">
      <w:pPr>
        <w:jc w:val="center"/>
        <w:rPr>
          <w:rFonts w:ascii="Arial" w:hAnsi="Arial" w:cs="Arial"/>
          <w:b/>
        </w:rPr>
      </w:pPr>
    </w:p>
    <w:p w:rsidR="008F58F5" w:rsidRDefault="00A02589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2B4EFB">
        <w:rPr>
          <w:rFonts w:ascii="Arial" w:hAnsi="Arial" w:cs="Arial"/>
          <w:b/>
        </w:rPr>
        <w:t xml:space="preserve"> Maria de Fátima Pranke</w:t>
      </w:r>
      <w:r w:rsidR="008F58F5">
        <w:rPr>
          <w:rFonts w:ascii="Arial" w:hAnsi="Arial" w:cs="Arial"/>
          <w:b/>
        </w:rPr>
        <w:t xml:space="preserve">                                     Ademir Schmidt</w:t>
      </w:r>
    </w:p>
    <w:p w:rsidR="008F58F5" w:rsidRDefault="00A02589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8F58F5">
        <w:rPr>
          <w:rFonts w:ascii="Arial" w:hAnsi="Arial" w:cs="Arial"/>
          <w:b/>
        </w:rPr>
        <w:t xml:space="preserve"> Representante Legal                                        Tc.crcrs - 40784  </w:t>
      </w:r>
    </w:p>
    <w:p w:rsidR="00210F36" w:rsidRDefault="00210F36" w:rsidP="007620F1">
      <w:pPr>
        <w:rPr>
          <w:rFonts w:ascii="Arial" w:hAnsi="Arial" w:cs="Arial"/>
          <w:b/>
        </w:rPr>
      </w:pPr>
    </w:p>
    <w:p w:rsidR="008F58F5" w:rsidRDefault="008F58F5" w:rsidP="007620F1">
      <w:pPr>
        <w:rPr>
          <w:rFonts w:ascii="Arial" w:hAnsi="Arial" w:cs="Arial"/>
          <w:b/>
        </w:rPr>
      </w:pPr>
    </w:p>
    <w:p w:rsidR="008F58F5" w:rsidRDefault="008F58F5" w:rsidP="007620F1">
      <w:pPr>
        <w:rPr>
          <w:rFonts w:ascii="Arial" w:hAnsi="Arial" w:cs="Arial"/>
          <w:b/>
        </w:rPr>
      </w:pPr>
    </w:p>
    <w:p w:rsidR="008F58F5" w:rsidRDefault="008F58F5" w:rsidP="007620F1">
      <w:pPr>
        <w:rPr>
          <w:rFonts w:ascii="Arial" w:hAnsi="Arial" w:cs="Arial"/>
          <w:b/>
        </w:rPr>
      </w:pP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Círculo Operário Leopoldense - COL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CNPJ: 96.740.238/0001-22</w:t>
      </w:r>
    </w:p>
    <w:p w:rsidR="008F58F5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 xml:space="preserve">Demonstrações Financeiras Levantadas em 31 de </w:t>
      </w:r>
      <w:r>
        <w:rPr>
          <w:rFonts w:ascii="Arial" w:hAnsi="Arial" w:cs="Arial"/>
          <w:b/>
          <w:sz w:val="23"/>
          <w:szCs w:val="23"/>
        </w:rPr>
        <w:t>dezembro de 201</w:t>
      </w:r>
      <w:r w:rsidR="006C0BAD">
        <w:rPr>
          <w:rFonts w:ascii="Arial" w:hAnsi="Arial" w:cs="Arial"/>
          <w:b/>
          <w:sz w:val="23"/>
          <w:szCs w:val="23"/>
        </w:rPr>
        <w:t>9</w:t>
      </w:r>
    </w:p>
    <w:p w:rsidR="009F57F9" w:rsidRDefault="009F57F9" w:rsidP="009F57F9">
      <w:pPr>
        <w:spacing w:line="276" w:lineRule="auto"/>
        <w:jc w:val="center"/>
        <w:rPr>
          <w:rFonts w:ascii="Arial" w:hAnsi="Arial" w:cs="Arial"/>
          <w:b/>
        </w:rPr>
      </w:pPr>
    </w:p>
    <w:p w:rsidR="008F58F5" w:rsidRDefault="00246F54" w:rsidP="009F57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w:object w:dxaOrig="1440" w:dyaOrig="1440">
          <v:shape id="_x0000_s1035" type="#_x0000_t75" style="position:absolute;left:0;text-align:left;margin-left:21.9pt;margin-top:23.1pt;width:558.5pt;height:488.15pt;z-index:251658240">
            <v:imagedata r:id="rId12" o:title=""/>
            <w10:wrap type="square" side="right"/>
          </v:shape>
          <o:OLEObject Type="Embed" ProgID="Excel.Sheet.12" ShapeID="_x0000_s1035" DrawAspect="Content" ObjectID="_1658319085" r:id="rId13"/>
        </w:object>
      </w:r>
      <w:r w:rsidR="008F58F5" w:rsidRPr="009F57F9">
        <w:rPr>
          <w:rFonts w:ascii="Arial" w:hAnsi="Arial" w:cs="Arial"/>
          <w:b/>
        </w:rPr>
        <w:t xml:space="preserve"> </w:t>
      </w:r>
      <w:r w:rsidR="009F57F9" w:rsidRPr="009F57F9">
        <w:rPr>
          <w:rFonts w:ascii="Arial" w:hAnsi="Arial" w:cs="Arial"/>
          <w:b/>
        </w:rPr>
        <w:t>2.2 – Demonstração do Resultado do Exercício</w:t>
      </w:r>
    </w:p>
    <w:p w:rsidR="005B5CEE" w:rsidRDefault="009950DB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Maria de Fátima Pranke                             Ademir Schmidt</w:t>
      </w:r>
    </w:p>
    <w:p w:rsidR="009950DB" w:rsidRDefault="009950DB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Representante Legal                               Tc.crcrs – 40.784</w:t>
      </w:r>
    </w:p>
    <w:p w:rsidR="00AF6A1E" w:rsidRDefault="00AF6A1E" w:rsidP="008F58F5">
      <w:pPr>
        <w:rPr>
          <w:rFonts w:ascii="Arial" w:hAnsi="Arial" w:cs="Arial"/>
          <w:b/>
        </w:rPr>
      </w:pPr>
    </w:p>
    <w:p w:rsidR="00AF6A1E" w:rsidRDefault="00AF6A1E" w:rsidP="008F58F5">
      <w:pPr>
        <w:rPr>
          <w:rFonts w:ascii="Arial" w:hAnsi="Arial" w:cs="Arial"/>
          <w:b/>
        </w:rPr>
      </w:pPr>
    </w:p>
    <w:p w:rsidR="0024626B" w:rsidRDefault="0024626B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24626B" w:rsidRDefault="0024626B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24626B" w:rsidRDefault="0024626B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24626B" w:rsidRDefault="0024626B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Círculo Operário Leopoldense - COL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CNPJ: 96.740.238/0001-22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 xml:space="preserve">Demonstrações Financeiras Levantadas em 31 de </w:t>
      </w:r>
      <w:r>
        <w:rPr>
          <w:rFonts w:ascii="Arial" w:hAnsi="Arial" w:cs="Arial"/>
          <w:b/>
          <w:sz w:val="23"/>
          <w:szCs w:val="23"/>
        </w:rPr>
        <w:t>d</w:t>
      </w:r>
      <w:r w:rsidRPr="00E448DA">
        <w:rPr>
          <w:rFonts w:ascii="Arial" w:hAnsi="Arial" w:cs="Arial"/>
          <w:b/>
          <w:sz w:val="23"/>
          <w:szCs w:val="23"/>
        </w:rPr>
        <w:t>ezembro de 201</w:t>
      </w:r>
      <w:r w:rsidR="0018058D">
        <w:rPr>
          <w:rFonts w:ascii="Arial" w:hAnsi="Arial" w:cs="Arial"/>
          <w:b/>
          <w:sz w:val="23"/>
          <w:szCs w:val="23"/>
        </w:rPr>
        <w:t>9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2.3 – Demonstração das Mutações do Patrimônio Líquido</w:t>
      </w:r>
    </w:p>
    <w:p w:rsidR="008F58F5" w:rsidRPr="006A2DD3" w:rsidRDefault="008F58F5" w:rsidP="008F58F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A2DD3">
        <w:rPr>
          <w:rFonts w:ascii="Arial" w:hAnsi="Arial" w:cs="Arial"/>
          <w:b/>
          <w:sz w:val="18"/>
          <w:szCs w:val="18"/>
        </w:rPr>
        <w:t>(VALORES EM REAIS)</w:t>
      </w:r>
    </w:p>
    <w:p w:rsidR="008F58F5" w:rsidRDefault="00246F54" w:rsidP="008F58F5">
      <w:pPr>
        <w:rPr>
          <w:rFonts w:ascii="Arial" w:hAnsi="Arial" w:cs="Arial"/>
          <w:sz w:val="23"/>
          <w:szCs w:val="23"/>
        </w:rPr>
      </w:pPr>
      <w:r w:rsidRPr="00CE3874">
        <w:rPr>
          <w:rFonts w:ascii="Arial" w:hAnsi="Arial" w:cs="Arial"/>
          <w:noProof/>
          <w:sz w:val="23"/>
          <w:szCs w:val="23"/>
        </w:rPr>
      </w:r>
      <w:r w:rsidR="004B2C91" w:rsidRPr="00CE3874">
        <w:rPr>
          <w:rFonts w:ascii="Arial" w:hAnsi="Arial" w:cs="Arial"/>
          <w:sz w:val="23"/>
          <w:szCs w:val="23"/>
        </w:rPr>
        <w:object w:dxaOrig="12953" w:dyaOrig="4071">
          <v:shape id="_x0000_i1027" type="#_x0000_t75" style="width:485.85pt;height:203.35pt" o:ole="">
            <v:imagedata r:id="rId14" o:title=""/>
          </v:shape>
          <o:OLEObject Type="Embed" ProgID="Excel.Sheet.12" ShapeID="_x0000_i1027" DrawAspect="Content" ObjectID="_1658319088" r:id="rId15"/>
        </w:object>
      </w:r>
    </w:p>
    <w:p w:rsidR="008F58F5" w:rsidRDefault="008F58F5" w:rsidP="008F58F5">
      <w:pPr>
        <w:rPr>
          <w:rFonts w:ascii="Arial" w:hAnsi="Arial" w:cs="Arial"/>
          <w:sz w:val="23"/>
          <w:szCs w:val="23"/>
        </w:rPr>
      </w:pPr>
    </w:p>
    <w:p w:rsidR="008F58F5" w:rsidRDefault="008F58F5" w:rsidP="008F58F5">
      <w:pPr>
        <w:rPr>
          <w:rFonts w:ascii="Arial" w:hAnsi="Arial" w:cs="Arial"/>
          <w:sz w:val="23"/>
          <w:szCs w:val="23"/>
        </w:rPr>
      </w:pPr>
    </w:p>
    <w:p w:rsidR="008F58F5" w:rsidRDefault="008F58F5" w:rsidP="008F58F5">
      <w:pPr>
        <w:rPr>
          <w:rFonts w:ascii="Arial" w:hAnsi="Arial" w:cs="Arial"/>
          <w:sz w:val="23"/>
          <w:szCs w:val="23"/>
        </w:rPr>
      </w:pPr>
    </w:p>
    <w:p w:rsidR="008F58F5" w:rsidRDefault="008F58F5" w:rsidP="008F58F5">
      <w:pPr>
        <w:rPr>
          <w:rFonts w:ascii="Arial" w:hAnsi="Arial" w:cs="Arial"/>
          <w:sz w:val="23"/>
          <w:szCs w:val="23"/>
        </w:rPr>
      </w:pPr>
    </w:p>
    <w:p w:rsidR="008F58F5" w:rsidRDefault="008F58F5" w:rsidP="008F58F5">
      <w:pPr>
        <w:rPr>
          <w:rFonts w:ascii="Arial" w:hAnsi="Arial" w:cs="Arial"/>
          <w:sz w:val="23"/>
          <w:szCs w:val="23"/>
        </w:rPr>
      </w:pPr>
    </w:p>
    <w:p w:rsidR="008F58F5" w:rsidRDefault="008F58F5" w:rsidP="008F58F5">
      <w:pPr>
        <w:rPr>
          <w:rFonts w:ascii="Arial" w:hAnsi="Arial" w:cs="Arial"/>
          <w:sz w:val="23"/>
          <w:szCs w:val="23"/>
        </w:rPr>
      </w:pPr>
    </w:p>
    <w:p w:rsidR="008F58F5" w:rsidRDefault="004E530B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18058D">
        <w:rPr>
          <w:rFonts w:ascii="Arial" w:hAnsi="Arial" w:cs="Arial"/>
          <w:b/>
        </w:rPr>
        <w:t xml:space="preserve">    Maria de Fátima Pranke</w:t>
      </w:r>
      <w:r w:rsidR="008F58F5">
        <w:rPr>
          <w:rFonts w:ascii="Arial" w:hAnsi="Arial" w:cs="Arial"/>
          <w:b/>
        </w:rPr>
        <w:t xml:space="preserve">                                    Ademir Schmidt</w:t>
      </w:r>
    </w:p>
    <w:p w:rsidR="008F58F5" w:rsidRDefault="008F58F5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530B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Representante Legal                                       Tc.crcrs - 40784  </w:t>
      </w:r>
    </w:p>
    <w:p w:rsidR="008F58F5" w:rsidRDefault="008F58F5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AC18C9" w:rsidRDefault="00AC18C9" w:rsidP="008F58F5">
      <w:pPr>
        <w:rPr>
          <w:rFonts w:ascii="Arial" w:hAnsi="Arial" w:cs="Arial"/>
          <w:b/>
        </w:rPr>
      </w:pPr>
    </w:p>
    <w:p w:rsidR="00AC18C9" w:rsidRDefault="00AC18C9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5F5706" w:rsidRDefault="005F5706" w:rsidP="008F58F5">
      <w:pPr>
        <w:rPr>
          <w:rFonts w:ascii="Arial" w:hAnsi="Arial" w:cs="Arial"/>
          <w:b/>
        </w:rPr>
      </w:pPr>
    </w:p>
    <w:p w:rsidR="008F58F5" w:rsidRPr="00E448DA" w:rsidRDefault="008F58F5" w:rsidP="008F58F5">
      <w:pPr>
        <w:tabs>
          <w:tab w:val="left" w:pos="540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lastRenderedPageBreak/>
        <w:t>Círculo Operário Leopoldense - COL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CNPJ: 96.740.238/0001-22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 xml:space="preserve">Demonstrações Financeiras Levantadas em 31 de </w:t>
      </w:r>
      <w:r>
        <w:rPr>
          <w:rFonts w:ascii="Arial" w:hAnsi="Arial" w:cs="Arial"/>
          <w:b/>
          <w:sz w:val="23"/>
          <w:szCs w:val="23"/>
        </w:rPr>
        <w:t>d</w:t>
      </w:r>
      <w:r w:rsidRPr="00E448DA">
        <w:rPr>
          <w:rFonts w:ascii="Arial" w:hAnsi="Arial" w:cs="Arial"/>
          <w:b/>
          <w:sz w:val="23"/>
          <w:szCs w:val="23"/>
        </w:rPr>
        <w:t>ezembro de 201</w:t>
      </w:r>
      <w:r w:rsidR="008A1449">
        <w:rPr>
          <w:rFonts w:ascii="Arial" w:hAnsi="Arial" w:cs="Arial"/>
          <w:b/>
          <w:sz w:val="23"/>
          <w:szCs w:val="23"/>
        </w:rPr>
        <w:t>9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2.4 – Demonstração do Fluxo de Caixa – Método Indireto</w:t>
      </w:r>
    </w:p>
    <w:p w:rsidR="008F58F5" w:rsidRPr="00E448DA" w:rsidRDefault="008F58F5" w:rsidP="008F58F5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6A2DD3">
        <w:rPr>
          <w:rFonts w:ascii="Arial" w:hAnsi="Arial" w:cs="Arial"/>
          <w:b/>
          <w:sz w:val="18"/>
          <w:szCs w:val="18"/>
        </w:rPr>
        <w:t>(VALORES EM REAIS)</w:t>
      </w:r>
    </w:p>
    <w:p w:rsidR="008F58F5" w:rsidRPr="00E448DA" w:rsidRDefault="008F58F5" w:rsidP="008F58F5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2F1470" w:rsidRDefault="002F1470" w:rsidP="008F58F5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8"/>
        <w:gridCol w:w="1836"/>
        <w:gridCol w:w="1552"/>
      </w:tblGrid>
      <w:tr w:rsidR="00273E87" w:rsidRPr="00273E87" w:rsidTr="009A315D">
        <w:tc>
          <w:tcPr>
            <w:tcW w:w="6487" w:type="dxa"/>
          </w:tcPr>
          <w:p w:rsidR="00273E87" w:rsidRPr="00273E87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3E87" w:rsidRPr="00273E87" w:rsidRDefault="00273E87" w:rsidP="00273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31/12/2019</w:t>
            </w:r>
          </w:p>
        </w:tc>
        <w:tc>
          <w:tcPr>
            <w:tcW w:w="1556" w:type="dxa"/>
          </w:tcPr>
          <w:p w:rsidR="00273E87" w:rsidRPr="00273E87" w:rsidRDefault="00273E87" w:rsidP="00273E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31/12/208</w:t>
            </w:r>
          </w:p>
        </w:tc>
      </w:tr>
      <w:tr w:rsidR="00273E87" w:rsidRPr="00273E87" w:rsidTr="009A315D">
        <w:tc>
          <w:tcPr>
            <w:tcW w:w="6487" w:type="dxa"/>
          </w:tcPr>
          <w:p w:rsidR="00273E87" w:rsidRPr="00273E87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3E87" w:rsidRPr="00273E87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</w:tcPr>
          <w:p w:rsidR="00273E87" w:rsidRPr="00273E87" w:rsidRDefault="00273E87" w:rsidP="008F58F5">
            <w:pPr>
              <w:rPr>
                <w:rFonts w:ascii="Arial" w:hAnsi="Arial" w:cs="Arial"/>
                <w:b/>
              </w:rPr>
            </w:pPr>
          </w:p>
        </w:tc>
      </w:tr>
      <w:tr w:rsidR="00273E87" w:rsidRPr="00273E87" w:rsidTr="009A315D">
        <w:tc>
          <w:tcPr>
            <w:tcW w:w="6487" w:type="dxa"/>
          </w:tcPr>
          <w:p w:rsidR="00273E87" w:rsidRPr="00273E87" w:rsidRDefault="00273E87" w:rsidP="008F58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– Fluxo de Caixa das Atividades Operacionais</w:t>
            </w:r>
          </w:p>
        </w:tc>
        <w:tc>
          <w:tcPr>
            <w:tcW w:w="1843" w:type="dxa"/>
          </w:tcPr>
          <w:p w:rsidR="004274DB" w:rsidRPr="00273E87" w:rsidRDefault="004274D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347.526,30</w:t>
            </w:r>
          </w:p>
        </w:tc>
        <w:tc>
          <w:tcPr>
            <w:tcW w:w="1556" w:type="dxa"/>
          </w:tcPr>
          <w:p w:rsidR="00273E87" w:rsidRPr="00273E87" w:rsidRDefault="004274D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24.114,09</w:t>
            </w:r>
          </w:p>
        </w:tc>
      </w:tr>
      <w:tr w:rsidR="00273E87" w:rsidRPr="00273E87" w:rsidTr="009A315D">
        <w:tc>
          <w:tcPr>
            <w:tcW w:w="6487" w:type="dxa"/>
          </w:tcPr>
          <w:p w:rsidR="00273E87" w:rsidRPr="00273E87" w:rsidRDefault="00273E87" w:rsidP="008F58F5">
            <w:pPr>
              <w:rPr>
                <w:rFonts w:ascii="Arial" w:hAnsi="Arial" w:cs="Arial"/>
              </w:rPr>
            </w:pPr>
            <w:r w:rsidRPr="00273E87">
              <w:rPr>
                <w:rFonts w:ascii="Arial" w:hAnsi="Arial" w:cs="Arial"/>
              </w:rPr>
              <w:t xml:space="preserve">   Resultado do Exercício / Período</w:t>
            </w:r>
          </w:p>
        </w:tc>
        <w:tc>
          <w:tcPr>
            <w:tcW w:w="1843" w:type="dxa"/>
          </w:tcPr>
          <w:p w:rsidR="00273E87" w:rsidRPr="00273E87" w:rsidRDefault="00273E87" w:rsidP="00273E87">
            <w:pPr>
              <w:jc w:val="right"/>
              <w:rPr>
                <w:rFonts w:ascii="Arial" w:hAnsi="Arial" w:cs="Arial"/>
              </w:rPr>
            </w:pPr>
            <w:r w:rsidRPr="00273E87">
              <w:rPr>
                <w:rFonts w:ascii="Arial" w:hAnsi="Arial" w:cs="Arial"/>
              </w:rPr>
              <w:t>612</w:t>
            </w:r>
            <w:r w:rsidR="004274DB">
              <w:rPr>
                <w:rFonts w:ascii="Arial" w:hAnsi="Arial" w:cs="Arial"/>
              </w:rPr>
              <w:t>.</w:t>
            </w:r>
            <w:r w:rsidRPr="00273E87">
              <w:rPr>
                <w:rFonts w:ascii="Arial" w:hAnsi="Arial" w:cs="Arial"/>
              </w:rPr>
              <w:t>258,94</w:t>
            </w:r>
          </w:p>
        </w:tc>
        <w:tc>
          <w:tcPr>
            <w:tcW w:w="1556" w:type="dxa"/>
          </w:tcPr>
          <w:p w:rsidR="00273E87" w:rsidRPr="00273E87" w:rsidRDefault="00D244EF" w:rsidP="00273E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73E87" w:rsidRPr="00273E87">
              <w:rPr>
                <w:rFonts w:ascii="Arial" w:hAnsi="Arial" w:cs="Arial"/>
              </w:rPr>
              <w:t>90</w:t>
            </w:r>
            <w:r w:rsidR="004274DB">
              <w:rPr>
                <w:rFonts w:ascii="Arial" w:hAnsi="Arial" w:cs="Arial"/>
              </w:rPr>
              <w:t>.</w:t>
            </w:r>
            <w:r w:rsidR="00273E87" w:rsidRPr="00273E87">
              <w:rPr>
                <w:rFonts w:ascii="Arial" w:hAnsi="Arial" w:cs="Arial"/>
              </w:rPr>
              <w:t>009,68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4274DB" w:rsidTr="009A315D">
        <w:tc>
          <w:tcPr>
            <w:tcW w:w="6487" w:type="dxa"/>
          </w:tcPr>
          <w:p w:rsidR="00273E87" w:rsidRPr="004274DB" w:rsidRDefault="004274DB" w:rsidP="008F58F5">
            <w:pPr>
              <w:rPr>
                <w:rFonts w:ascii="Arial" w:hAnsi="Arial" w:cs="Arial"/>
              </w:rPr>
            </w:pPr>
            <w:r w:rsidRPr="004274DB">
              <w:rPr>
                <w:rFonts w:ascii="Arial" w:hAnsi="Arial" w:cs="Arial"/>
              </w:rPr>
              <w:t xml:space="preserve">   Depreciações</w:t>
            </w:r>
          </w:p>
        </w:tc>
        <w:tc>
          <w:tcPr>
            <w:tcW w:w="1843" w:type="dxa"/>
          </w:tcPr>
          <w:p w:rsidR="00273E87" w:rsidRPr="004274DB" w:rsidRDefault="004274DB" w:rsidP="004274DB">
            <w:pPr>
              <w:jc w:val="right"/>
              <w:rPr>
                <w:rFonts w:ascii="Arial" w:hAnsi="Arial" w:cs="Arial"/>
              </w:rPr>
            </w:pPr>
            <w:r w:rsidRPr="004274DB">
              <w:rPr>
                <w:rFonts w:ascii="Arial" w:hAnsi="Arial" w:cs="Arial"/>
              </w:rPr>
              <w:t>204.350,04</w:t>
            </w:r>
          </w:p>
        </w:tc>
        <w:tc>
          <w:tcPr>
            <w:tcW w:w="1556" w:type="dxa"/>
          </w:tcPr>
          <w:p w:rsidR="00273E87" w:rsidRPr="004274DB" w:rsidRDefault="004274DB" w:rsidP="004274DB">
            <w:pPr>
              <w:jc w:val="right"/>
              <w:rPr>
                <w:rFonts w:ascii="Arial" w:hAnsi="Arial" w:cs="Arial"/>
              </w:rPr>
            </w:pPr>
            <w:r w:rsidRPr="004274DB">
              <w:rPr>
                <w:rFonts w:ascii="Arial" w:hAnsi="Arial" w:cs="Arial"/>
              </w:rPr>
              <w:t>204</w:t>
            </w:r>
            <w:r w:rsidR="00D9521C">
              <w:rPr>
                <w:rFonts w:ascii="Arial" w:hAnsi="Arial" w:cs="Arial"/>
              </w:rPr>
              <w:t>.</w:t>
            </w:r>
            <w:r w:rsidRPr="004274DB">
              <w:rPr>
                <w:rFonts w:ascii="Arial" w:hAnsi="Arial" w:cs="Arial"/>
              </w:rPr>
              <w:t>261,45</w:t>
            </w: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4274DB" w:rsidP="008F58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Resultado do Exercício Ajustado</w:t>
            </w:r>
          </w:p>
        </w:tc>
        <w:tc>
          <w:tcPr>
            <w:tcW w:w="1843" w:type="dxa"/>
          </w:tcPr>
          <w:p w:rsidR="00273E87" w:rsidRPr="004274DB" w:rsidRDefault="004274D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816,608,98</w:t>
            </w:r>
          </w:p>
        </w:tc>
        <w:tc>
          <w:tcPr>
            <w:tcW w:w="1556" w:type="dxa"/>
          </w:tcPr>
          <w:p w:rsidR="00273E87" w:rsidRPr="004274DB" w:rsidRDefault="004274D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114.251,77</w:t>
            </w:r>
          </w:p>
        </w:tc>
      </w:tr>
      <w:tr w:rsidR="00273E87" w:rsidRPr="004274DB" w:rsidTr="009A315D">
        <w:tc>
          <w:tcPr>
            <w:tcW w:w="6487" w:type="dxa"/>
          </w:tcPr>
          <w:p w:rsidR="00273E87" w:rsidRPr="004274DB" w:rsidRDefault="004274DB" w:rsidP="008F58F5">
            <w:pPr>
              <w:rPr>
                <w:rFonts w:ascii="Arial" w:hAnsi="Arial" w:cs="Arial"/>
              </w:rPr>
            </w:pPr>
            <w:r w:rsidRPr="004274DB">
              <w:rPr>
                <w:rFonts w:ascii="Arial" w:hAnsi="Arial" w:cs="Arial"/>
              </w:rPr>
              <w:t xml:space="preserve">   Variação de Adiantamentos Diversos</w:t>
            </w:r>
          </w:p>
        </w:tc>
        <w:tc>
          <w:tcPr>
            <w:tcW w:w="1843" w:type="dxa"/>
          </w:tcPr>
          <w:p w:rsidR="00273E87" w:rsidRPr="004274DB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274DB" w:rsidRPr="004274DB">
              <w:rPr>
                <w:rFonts w:ascii="Arial" w:hAnsi="Arial" w:cs="Arial"/>
              </w:rPr>
              <w:t>896,36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6" w:type="dxa"/>
          </w:tcPr>
          <w:p w:rsidR="00273E87" w:rsidRPr="004274DB" w:rsidRDefault="004274DB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369,23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274DB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Despesas a Apropr</w:t>
            </w:r>
            <w:r w:rsidR="004E19A7" w:rsidRPr="004E19A7">
              <w:rPr>
                <w:rFonts w:ascii="Arial" w:hAnsi="Arial" w:cs="Arial"/>
              </w:rPr>
              <w:t>i</w:t>
            </w:r>
            <w:r w:rsidRPr="004E19A7">
              <w:rPr>
                <w:rFonts w:ascii="Arial" w:hAnsi="Arial" w:cs="Arial"/>
              </w:rPr>
              <w:t>ar</w:t>
            </w:r>
          </w:p>
        </w:tc>
        <w:tc>
          <w:tcPr>
            <w:tcW w:w="1843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274DB" w:rsidRPr="004E19A7">
              <w:rPr>
                <w:rFonts w:ascii="Arial" w:hAnsi="Arial" w:cs="Arial"/>
              </w:rPr>
              <w:t>285,30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6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274,03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Créditos Diversos</w:t>
            </w:r>
          </w:p>
        </w:tc>
        <w:tc>
          <w:tcPr>
            <w:tcW w:w="1843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>
              <w:rPr>
                <w:rFonts w:ascii="Arial" w:hAnsi="Arial" w:cs="Arial"/>
              </w:rPr>
              <w:t>579.</w:t>
            </w:r>
            <w:r w:rsidR="004E19A7" w:rsidRPr="004E19A7">
              <w:rPr>
                <w:rFonts w:ascii="Arial" w:hAnsi="Arial" w:cs="Arial"/>
              </w:rPr>
              <w:t>759,46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6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61.007,23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Inquilinos – Imóveis</w:t>
            </w:r>
          </w:p>
        </w:tc>
        <w:tc>
          <w:tcPr>
            <w:tcW w:w="1843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 w:rsidRPr="004E19A7">
              <w:rPr>
                <w:rFonts w:ascii="Arial" w:hAnsi="Arial" w:cs="Arial"/>
              </w:rPr>
              <w:t>4.842,71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6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5.989,27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Fornecedores</w:t>
            </w:r>
          </w:p>
        </w:tc>
        <w:tc>
          <w:tcPr>
            <w:tcW w:w="1843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12.083,63</w:t>
            </w:r>
          </w:p>
        </w:tc>
        <w:tc>
          <w:tcPr>
            <w:tcW w:w="1556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257,80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Ordenados a Pagar e Provisões</w:t>
            </w:r>
          </w:p>
        </w:tc>
        <w:tc>
          <w:tcPr>
            <w:tcW w:w="1843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54.410,82</w:t>
            </w:r>
          </w:p>
        </w:tc>
        <w:tc>
          <w:tcPr>
            <w:tcW w:w="1556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 w:rsidRPr="004E19A7">
              <w:rPr>
                <w:rFonts w:ascii="Arial" w:hAnsi="Arial" w:cs="Arial"/>
              </w:rPr>
              <w:t>3.710,55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Obrigações Previdenciárias e Sociais</w:t>
            </w:r>
          </w:p>
        </w:tc>
        <w:tc>
          <w:tcPr>
            <w:tcW w:w="1843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11.665,50</w:t>
            </w:r>
          </w:p>
        </w:tc>
        <w:tc>
          <w:tcPr>
            <w:tcW w:w="1556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>
              <w:rPr>
                <w:rFonts w:ascii="Arial" w:hAnsi="Arial" w:cs="Arial"/>
              </w:rPr>
              <w:t>13.896,73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Obrigações Tributárias Pessoa Jurídica</w:t>
            </w:r>
          </w:p>
        </w:tc>
        <w:tc>
          <w:tcPr>
            <w:tcW w:w="1843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4.021,53</w:t>
            </w:r>
          </w:p>
        </w:tc>
        <w:tc>
          <w:tcPr>
            <w:tcW w:w="1556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>
              <w:rPr>
                <w:rFonts w:ascii="Arial" w:hAnsi="Arial" w:cs="Arial"/>
              </w:rPr>
              <w:t>1.898,48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Obrigações Tributárias Pessoa Física</w:t>
            </w:r>
          </w:p>
        </w:tc>
        <w:tc>
          <w:tcPr>
            <w:tcW w:w="1843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 w:rsidRPr="004E19A7">
              <w:rPr>
                <w:rFonts w:ascii="Arial" w:hAnsi="Arial" w:cs="Arial"/>
              </w:rPr>
              <w:t>11,05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6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 w:rsidRPr="004E19A7">
              <w:rPr>
                <w:rFonts w:ascii="Arial" w:hAnsi="Arial" w:cs="Arial"/>
              </w:rPr>
              <w:t>161,04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e Outras Contas a Pagar</w:t>
            </w:r>
          </w:p>
        </w:tc>
        <w:tc>
          <w:tcPr>
            <w:tcW w:w="1843" w:type="dxa"/>
          </w:tcPr>
          <w:p w:rsidR="004274DB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11.751,40</w:t>
            </w:r>
          </w:p>
        </w:tc>
        <w:tc>
          <w:tcPr>
            <w:tcW w:w="1556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 w:rsidRPr="004E19A7">
              <w:rPr>
                <w:rFonts w:ascii="Arial" w:hAnsi="Arial" w:cs="Arial"/>
              </w:rPr>
              <w:t>4.988,44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4E19A7" w:rsidTr="009A315D">
        <w:tc>
          <w:tcPr>
            <w:tcW w:w="6487" w:type="dxa"/>
          </w:tcPr>
          <w:p w:rsidR="00273E87" w:rsidRPr="004E19A7" w:rsidRDefault="004E19A7" w:rsidP="008F58F5">
            <w:pPr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 xml:space="preserve">   Variação de Subvenções e Fundos Sociais</w:t>
            </w:r>
          </w:p>
        </w:tc>
        <w:tc>
          <w:tcPr>
            <w:tcW w:w="1843" w:type="dxa"/>
          </w:tcPr>
          <w:p w:rsidR="00273E87" w:rsidRPr="004E19A7" w:rsidRDefault="004E19A7" w:rsidP="004274DB">
            <w:pPr>
              <w:jc w:val="right"/>
              <w:rPr>
                <w:rFonts w:ascii="Arial" w:hAnsi="Arial" w:cs="Arial"/>
              </w:rPr>
            </w:pPr>
            <w:r w:rsidRPr="004E19A7">
              <w:rPr>
                <w:rFonts w:ascii="Arial" w:hAnsi="Arial" w:cs="Arial"/>
              </w:rPr>
              <w:t>40.549,63</w:t>
            </w:r>
          </w:p>
        </w:tc>
        <w:tc>
          <w:tcPr>
            <w:tcW w:w="1556" w:type="dxa"/>
          </w:tcPr>
          <w:p w:rsidR="00273E87" w:rsidRPr="004E19A7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 w:rsidRPr="004E19A7">
              <w:rPr>
                <w:rFonts w:ascii="Arial" w:hAnsi="Arial" w:cs="Arial"/>
              </w:rPr>
              <w:t>59.260,81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AB694B" w:rsidTr="009A315D">
        <w:tc>
          <w:tcPr>
            <w:tcW w:w="6487" w:type="dxa"/>
          </w:tcPr>
          <w:p w:rsidR="00273E87" w:rsidRPr="00AB694B" w:rsidRDefault="004E19A7" w:rsidP="00AB694B">
            <w:pPr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 xml:space="preserve">   Ajustes de Exercícios Anteriores</w:t>
            </w:r>
          </w:p>
        </w:tc>
        <w:tc>
          <w:tcPr>
            <w:tcW w:w="1843" w:type="dxa"/>
          </w:tcPr>
          <w:p w:rsidR="00273E87" w:rsidRPr="00AB694B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E19A7" w:rsidRPr="00AB694B">
              <w:rPr>
                <w:rFonts w:ascii="Arial" w:hAnsi="Arial" w:cs="Arial"/>
              </w:rPr>
              <w:t>17.</w:t>
            </w:r>
            <w:r w:rsidR="00AB694B" w:rsidRPr="00AB694B">
              <w:rPr>
                <w:rFonts w:ascii="Arial" w:hAnsi="Arial" w:cs="Arial"/>
              </w:rPr>
              <w:t>725,31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6" w:type="dxa"/>
          </w:tcPr>
          <w:p w:rsidR="00273E87" w:rsidRPr="00AB694B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B694B" w:rsidRPr="00AB694B">
              <w:rPr>
                <w:rFonts w:ascii="Arial" w:hAnsi="Arial" w:cs="Arial"/>
              </w:rPr>
              <w:t>74.119,19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AB694B" w:rsidP="008F58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– Fluxo de Caixa das Atividades de Investimentos</w:t>
            </w:r>
          </w:p>
        </w:tc>
        <w:tc>
          <w:tcPr>
            <w:tcW w:w="1843" w:type="dxa"/>
          </w:tcPr>
          <w:p w:rsidR="00273E87" w:rsidRPr="004274DB" w:rsidRDefault="00AB694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165.450,87</w:t>
            </w:r>
          </w:p>
        </w:tc>
        <w:tc>
          <w:tcPr>
            <w:tcW w:w="1556" w:type="dxa"/>
          </w:tcPr>
          <w:p w:rsidR="00273E87" w:rsidRPr="004274DB" w:rsidRDefault="00D244EF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B694B">
              <w:rPr>
                <w:rFonts w:ascii="Arial" w:hAnsi="Arial" w:cs="Arial"/>
                <w:b/>
              </w:rPr>
              <w:t>14.869,68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73E87" w:rsidRPr="00AB694B" w:rsidTr="009A315D">
        <w:tc>
          <w:tcPr>
            <w:tcW w:w="6487" w:type="dxa"/>
          </w:tcPr>
          <w:p w:rsidR="00273E87" w:rsidRPr="00AB694B" w:rsidRDefault="00AB694B" w:rsidP="008F58F5">
            <w:pPr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 xml:space="preserve">   Variação Imobilizado</w:t>
            </w:r>
          </w:p>
        </w:tc>
        <w:tc>
          <w:tcPr>
            <w:tcW w:w="1843" w:type="dxa"/>
          </w:tcPr>
          <w:p w:rsidR="00273E87" w:rsidRPr="00AB694B" w:rsidRDefault="00AB694B" w:rsidP="004274DB">
            <w:pPr>
              <w:jc w:val="right"/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>165.450,87</w:t>
            </w:r>
          </w:p>
        </w:tc>
        <w:tc>
          <w:tcPr>
            <w:tcW w:w="1556" w:type="dxa"/>
          </w:tcPr>
          <w:p w:rsidR="00273E87" w:rsidRPr="00AB694B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B694B" w:rsidRPr="00AB694B">
              <w:rPr>
                <w:rFonts w:ascii="Arial" w:hAnsi="Arial" w:cs="Arial"/>
              </w:rPr>
              <w:t>11.589,68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AB694B" w:rsidTr="009A315D">
        <w:tc>
          <w:tcPr>
            <w:tcW w:w="6487" w:type="dxa"/>
          </w:tcPr>
          <w:p w:rsidR="00273E87" w:rsidRPr="00AB694B" w:rsidRDefault="00AB694B" w:rsidP="008F58F5">
            <w:pPr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 xml:space="preserve">   Variação Intangível</w:t>
            </w:r>
          </w:p>
        </w:tc>
        <w:tc>
          <w:tcPr>
            <w:tcW w:w="1843" w:type="dxa"/>
          </w:tcPr>
          <w:p w:rsidR="00273E87" w:rsidRPr="00AB694B" w:rsidRDefault="00AB694B" w:rsidP="004274DB">
            <w:pPr>
              <w:jc w:val="right"/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>0,00</w:t>
            </w:r>
          </w:p>
        </w:tc>
        <w:tc>
          <w:tcPr>
            <w:tcW w:w="1556" w:type="dxa"/>
          </w:tcPr>
          <w:p w:rsidR="00273E87" w:rsidRPr="00AB694B" w:rsidRDefault="00D244EF" w:rsidP="004274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B694B" w:rsidRPr="00AB694B">
              <w:rPr>
                <w:rFonts w:ascii="Arial" w:hAnsi="Arial" w:cs="Arial"/>
              </w:rPr>
              <w:t>3.280,00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AB694B" w:rsidP="008F58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– Fluxo de Caixa das Atividades de Financiamentos</w:t>
            </w:r>
          </w:p>
        </w:tc>
        <w:tc>
          <w:tcPr>
            <w:tcW w:w="1843" w:type="dxa"/>
          </w:tcPr>
          <w:p w:rsidR="00273E87" w:rsidRPr="004274DB" w:rsidRDefault="00AB694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56" w:type="dxa"/>
          </w:tcPr>
          <w:p w:rsidR="00273E87" w:rsidRPr="004274DB" w:rsidRDefault="00AB694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AB694B" w:rsidP="008F58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– Aumento / Redução nas Disponibilidades</w:t>
            </w:r>
          </w:p>
        </w:tc>
        <w:tc>
          <w:tcPr>
            <w:tcW w:w="1843" w:type="dxa"/>
          </w:tcPr>
          <w:p w:rsidR="00273E87" w:rsidRPr="004274DB" w:rsidRDefault="00AB694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486.387,47</w:t>
            </w:r>
          </w:p>
        </w:tc>
        <w:tc>
          <w:tcPr>
            <w:tcW w:w="1556" w:type="dxa"/>
          </w:tcPr>
          <w:p w:rsidR="00273E87" w:rsidRPr="004274DB" w:rsidRDefault="00AB694B" w:rsidP="004274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9.244,41</w:t>
            </w:r>
          </w:p>
        </w:tc>
      </w:tr>
      <w:tr w:rsidR="00273E87" w:rsidRPr="00273E87" w:rsidTr="009A315D">
        <w:tc>
          <w:tcPr>
            <w:tcW w:w="6487" w:type="dxa"/>
          </w:tcPr>
          <w:p w:rsidR="00273E87" w:rsidRPr="004274DB" w:rsidRDefault="00273E87" w:rsidP="008F58F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</w:tcPr>
          <w:p w:rsidR="00273E87" w:rsidRPr="004274DB" w:rsidRDefault="00273E87" w:rsidP="004274D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73E87" w:rsidRPr="00AB694B" w:rsidTr="009A315D">
        <w:tc>
          <w:tcPr>
            <w:tcW w:w="6487" w:type="dxa"/>
          </w:tcPr>
          <w:p w:rsidR="00273E87" w:rsidRPr="00AB694B" w:rsidRDefault="00AB694B" w:rsidP="008F58F5">
            <w:pPr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 xml:space="preserve">   Disponibilidade no Início do Período</w:t>
            </w:r>
          </w:p>
        </w:tc>
        <w:tc>
          <w:tcPr>
            <w:tcW w:w="1843" w:type="dxa"/>
          </w:tcPr>
          <w:p w:rsidR="00273E87" w:rsidRPr="00AB694B" w:rsidRDefault="00AB694B" w:rsidP="004274DB">
            <w:pPr>
              <w:jc w:val="right"/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>797.543,00</w:t>
            </w:r>
          </w:p>
        </w:tc>
        <w:tc>
          <w:tcPr>
            <w:tcW w:w="1556" w:type="dxa"/>
          </w:tcPr>
          <w:p w:rsidR="00273E87" w:rsidRPr="00AB694B" w:rsidRDefault="00AB694B" w:rsidP="004274DB">
            <w:pPr>
              <w:jc w:val="right"/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>788.298,59</w:t>
            </w:r>
          </w:p>
        </w:tc>
      </w:tr>
      <w:tr w:rsidR="00273E87" w:rsidRPr="00AB694B" w:rsidTr="009A315D">
        <w:tc>
          <w:tcPr>
            <w:tcW w:w="6487" w:type="dxa"/>
          </w:tcPr>
          <w:p w:rsidR="00273E87" w:rsidRPr="00AB694B" w:rsidRDefault="00AB694B" w:rsidP="008F58F5">
            <w:pPr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 xml:space="preserve">   Disponibilidade no Final do Período</w:t>
            </w:r>
          </w:p>
        </w:tc>
        <w:tc>
          <w:tcPr>
            <w:tcW w:w="1843" w:type="dxa"/>
          </w:tcPr>
          <w:p w:rsidR="00273E87" w:rsidRPr="00AB694B" w:rsidRDefault="00AB694B" w:rsidP="004274DB">
            <w:pPr>
              <w:jc w:val="right"/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>1.283.930,47</w:t>
            </w:r>
          </w:p>
        </w:tc>
        <w:tc>
          <w:tcPr>
            <w:tcW w:w="1556" w:type="dxa"/>
          </w:tcPr>
          <w:p w:rsidR="00273E87" w:rsidRPr="00AB694B" w:rsidRDefault="00AB694B" w:rsidP="004274DB">
            <w:pPr>
              <w:jc w:val="right"/>
              <w:rPr>
                <w:rFonts w:ascii="Arial" w:hAnsi="Arial" w:cs="Arial"/>
              </w:rPr>
            </w:pPr>
            <w:r w:rsidRPr="00AB694B">
              <w:rPr>
                <w:rFonts w:ascii="Arial" w:hAnsi="Arial" w:cs="Arial"/>
              </w:rPr>
              <w:t>797.543,00</w:t>
            </w:r>
          </w:p>
        </w:tc>
      </w:tr>
    </w:tbl>
    <w:p w:rsidR="002F1470" w:rsidRDefault="002F1470" w:rsidP="008F58F5">
      <w:pPr>
        <w:rPr>
          <w:rFonts w:ascii="Arial" w:hAnsi="Arial" w:cs="Arial"/>
          <w:b/>
        </w:rPr>
      </w:pPr>
    </w:p>
    <w:p w:rsidR="008F58F5" w:rsidRDefault="008F58F5" w:rsidP="008F58F5">
      <w:pPr>
        <w:rPr>
          <w:rFonts w:ascii="Arial" w:hAnsi="Arial" w:cs="Arial"/>
          <w:b/>
        </w:rPr>
      </w:pPr>
    </w:p>
    <w:p w:rsidR="00AB694B" w:rsidRDefault="00AB694B" w:rsidP="008F58F5">
      <w:pPr>
        <w:rPr>
          <w:rFonts w:ascii="Arial" w:hAnsi="Arial" w:cs="Arial"/>
          <w:b/>
        </w:rPr>
      </w:pPr>
    </w:p>
    <w:p w:rsidR="008F58F5" w:rsidRDefault="008A1449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B694B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Maria de Fátima Pr</w:t>
      </w:r>
      <w:r w:rsidR="00B5408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nke</w:t>
      </w:r>
      <w:r w:rsidR="008F58F5">
        <w:rPr>
          <w:rFonts w:ascii="Arial" w:hAnsi="Arial" w:cs="Arial"/>
          <w:b/>
        </w:rPr>
        <w:t xml:space="preserve">                                      Ademir Schmidt</w:t>
      </w:r>
    </w:p>
    <w:p w:rsidR="008F58F5" w:rsidRDefault="008F58F5" w:rsidP="008F5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B694B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Representante Legal                </w:t>
      </w:r>
      <w:r w:rsidR="00AB694B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 Tc.crcrs - 40784  </w:t>
      </w:r>
    </w:p>
    <w:p w:rsidR="00D9521C" w:rsidRDefault="00D9521C" w:rsidP="000F71E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0F71E4" w:rsidRPr="00E448DA" w:rsidRDefault="00D9521C" w:rsidP="000F71E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C</w:t>
      </w:r>
      <w:r w:rsidR="000F71E4" w:rsidRPr="00E448DA">
        <w:rPr>
          <w:rFonts w:ascii="Arial" w:hAnsi="Arial" w:cs="Arial"/>
          <w:b/>
          <w:sz w:val="23"/>
          <w:szCs w:val="23"/>
        </w:rPr>
        <w:t>írculo Operário Leopoldense - COL</w:t>
      </w:r>
    </w:p>
    <w:p w:rsidR="000F71E4" w:rsidRPr="00E448DA" w:rsidRDefault="000F71E4" w:rsidP="000F71E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>CNPJ: 96.740.238/0001-22</w:t>
      </w:r>
    </w:p>
    <w:p w:rsidR="000F71E4" w:rsidRPr="00E448DA" w:rsidRDefault="000F71E4" w:rsidP="000F71E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 xml:space="preserve">Demonstrações Financeiras Levantadas em 31 de </w:t>
      </w:r>
      <w:r>
        <w:rPr>
          <w:rFonts w:ascii="Arial" w:hAnsi="Arial" w:cs="Arial"/>
          <w:b/>
          <w:sz w:val="23"/>
          <w:szCs w:val="23"/>
        </w:rPr>
        <w:t>d</w:t>
      </w:r>
      <w:r w:rsidRPr="00E448DA">
        <w:rPr>
          <w:rFonts w:ascii="Arial" w:hAnsi="Arial" w:cs="Arial"/>
          <w:b/>
          <w:sz w:val="23"/>
          <w:szCs w:val="23"/>
        </w:rPr>
        <w:t>ezembro de 201</w:t>
      </w:r>
      <w:r w:rsidR="00557587">
        <w:rPr>
          <w:rFonts w:ascii="Arial" w:hAnsi="Arial" w:cs="Arial"/>
          <w:b/>
          <w:sz w:val="23"/>
          <w:szCs w:val="23"/>
        </w:rPr>
        <w:t>9</w:t>
      </w:r>
    </w:p>
    <w:p w:rsidR="000F71E4" w:rsidRPr="00E448DA" w:rsidRDefault="000F71E4" w:rsidP="000F71E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48DA">
        <w:rPr>
          <w:rFonts w:ascii="Arial" w:hAnsi="Arial" w:cs="Arial"/>
          <w:b/>
          <w:sz w:val="23"/>
          <w:szCs w:val="23"/>
        </w:rPr>
        <w:t xml:space="preserve">2.5 – Notas Explicativas às Demonstrações Financeiras Referentes ao Exercício Findo em 31 de </w:t>
      </w:r>
      <w:r>
        <w:rPr>
          <w:rFonts w:ascii="Arial" w:hAnsi="Arial" w:cs="Arial"/>
          <w:b/>
          <w:sz w:val="23"/>
          <w:szCs w:val="23"/>
        </w:rPr>
        <w:t>dezembro de 201</w:t>
      </w:r>
      <w:r w:rsidR="00557587">
        <w:rPr>
          <w:rFonts w:ascii="Arial" w:hAnsi="Arial" w:cs="Arial"/>
          <w:b/>
          <w:sz w:val="23"/>
          <w:szCs w:val="23"/>
        </w:rPr>
        <w:t>9</w:t>
      </w:r>
    </w:p>
    <w:p w:rsidR="000F71E4" w:rsidRPr="008E7500" w:rsidRDefault="000F71E4" w:rsidP="000F71E4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E7500">
        <w:rPr>
          <w:rFonts w:ascii="Arial" w:hAnsi="Arial" w:cs="Arial"/>
          <w:b/>
          <w:sz w:val="18"/>
          <w:szCs w:val="18"/>
        </w:rPr>
        <w:t>(VALORES EM REAIS)</w:t>
      </w:r>
    </w:p>
    <w:p w:rsidR="000F71E4" w:rsidRPr="00E448DA" w:rsidRDefault="000F71E4" w:rsidP="000F71E4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0F71E4" w:rsidRPr="00E448DA" w:rsidRDefault="000F71E4" w:rsidP="000F71E4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3"/>
          <w:szCs w:val="23"/>
        </w:rPr>
      </w:pPr>
      <w:r w:rsidRPr="00E448DA">
        <w:rPr>
          <w:rFonts w:ascii="Arial" w:hAnsi="Arial" w:cs="Arial"/>
          <w:b/>
          <w:snapToGrid w:val="0"/>
          <w:sz w:val="23"/>
          <w:szCs w:val="23"/>
        </w:rPr>
        <w:t>NOTA 01 - APRESENTAÇÃO DAS DEMONSTRAÇÕES FINANCEIRAS:</w:t>
      </w:r>
    </w:p>
    <w:p w:rsidR="000F71E4" w:rsidRPr="00E448DA" w:rsidRDefault="000F71E4" w:rsidP="000F71E4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O Círculo Operário Leopoldense - COL, situado à Rua Primeiro de Março n° 777, centro, São Leopoldo/RS, inscrito no CNPJ sob n° 96.740.238/0001-22, fundada em 29 de julho de 1935, é uma Associação do 3° Setor Fila</w:t>
      </w:r>
      <w:r w:rsidR="002F1470">
        <w:rPr>
          <w:rFonts w:ascii="Arial" w:hAnsi="Arial" w:cs="Arial"/>
          <w:bCs/>
          <w:sz w:val="23"/>
          <w:szCs w:val="23"/>
        </w:rPr>
        <w:t>ntrópica, de assistência social</w:t>
      </w:r>
      <w:r w:rsidRPr="00E448DA">
        <w:rPr>
          <w:rFonts w:ascii="Arial" w:hAnsi="Arial" w:cs="Arial"/>
          <w:bCs/>
          <w:sz w:val="23"/>
          <w:szCs w:val="23"/>
        </w:rPr>
        <w:t xml:space="preserve">, sem fins econômicos. Com estatuto alterado e consolidado devidamente averbado no Ofício de Registros das Pessoas Jurídicas de São Leopoldo/RS, registro n° 78, Livro A-31, fl.260, em 19 de agosto de 2015. A entidade nos termos estabelecidos no Art°150, inciso VI, alínea "C" da Constituição Federal de 1988 e, em atendimento ao disposto nos Artigos 9° e 14° do Código Tributário Nacional, Lei n°5172/66 e suas alterações, é imune de tributação sobre seu Patrimônio, renda e serviços, estando em dia com as exigências estabelecidas em lei para a manutenção desse benefício conforme consta em seus estatutos. O Círculo Operário Leopoldense - COL é uma associação sem fins econômicos, obrigando-se a aplicar anualmente todas as suas rendas e recursos financeiros em seus objetivos estatutários. 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 xml:space="preserve">A sua Missão: </w:t>
      </w:r>
      <w:r w:rsidRPr="00E448DA">
        <w:rPr>
          <w:rFonts w:ascii="Arial" w:hAnsi="Arial" w:cs="Arial"/>
          <w:bCs/>
          <w:color w:val="000000" w:themeColor="text1"/>
          <w:sz w:val="23"/>
          <w:szCs w:val="23"/>
        </w:rPr>
        <w:t xml:space="preserve">"Promover a garantia e defesa dos direitos humanos de crianças, adolescentes, jovens, mulheres, idosos e suas famílias, mediante processos democráticos e participativos, atuando na política pública e controle social, no âmbito estadual” 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E448DA">
        <w:rPr>
          <w:rFonts w:ascii="Arial" w:hAnsi="Arial" w:cs="Arial"/>
          <w:bCs/>
          <w:color w:val="000000" w:themeColor="text1"/>
          <w:sz w:val="23"/>
          <w:szCs w:val="23"/>
        </w:rPr>
        <w:t>A sua Visão: “Ser referência na formação, mobilização, assessoria, visando a construção de políticas públicas, na valorização da diversidade e da autonomia do sujeito, através da gestão democrática”.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E448DA">
        <w:rPr>
          <w:rFonts w:ascii="Arial" w:hAnsi="Arial" w:cs="Arial"/>
          <w:bCs/>
          <w:color w:val="000000" w:themeColor="text1"/>
          <w:sz w:val="23"/>
          <w:szCs w:val="23"/>
        </w:rPr>
        <w:t>Seus Valores: “Atuar com ética através da justiça social, transparência, autonomia, profissionalismo, educação democrática, comprometimento, solidariedade, respeito, diversidade e interdependência no cumprimento da Missão Institucional”.</w:t>
      </w:r>
    </w:p>
    <w:p w:rsidR="000F71E4" w:rsidRPr="00E448DA" w:rsidRDefault="000F71E4" w:rsidP="000F71E4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48DA">
        <w:rPr>
          <w:rFonts w:ascii="Arial" w:hAnsi="Arial" w:cs="Arial"/>
          <w:sz w:val="23"/>
          <w:szCs w:val="23"/>
        </w:rPr>
        <w:t>O Círculo Operário Leopoldense/COL atua desde 1935, suas atividades sempre estiveram voltada</w:t>
      </w:r>
      <w:r>
        <w:rPr>
          <w:rFonts w:ascii="Arial" w:hAnsi="Arial" w:cs="Arial"/>
          <w:sz w:val="23"/>
          <w:szCs w:val="23"/>
        </w:rPr>
        <w:t>s</w:t>
      </w:r>
      <w:r w:rsidRPr="00E448DA">
        <w:rPr>
          <w:rFonts w:ascii="Arial" w:hAnsi="Arial" w:cs="Arial"/>
          <w:sz w:val="23"/>
          <w:szCs w:val="23"/>
        </w:rPr>
        <w:t xml:space="preserve"> a população em situação de vulnerabilidade. No início de suas atividades atuando em prol da defesa do trabalhador. Hoje se encontra organizado conforme a Política Nacional de Assistência Social.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48DA">
        <w:rPr>
          <w:rFonts w:ascii="Arial" w:hAnsi="Arial" w:cs="Arial"/>
          <w:sz w:val="23"/>
          <w:szCs w:val="23"/>
        </w:rPr>
        <w:lastRenderedPageBreak/>
        <w:t>Atuamos em duas frentes de proteção Básica e Especial, na primeira atuando em duas comunidades da cidade de São Leopoldo, executando o Serviço de Convivência e Fortalecimento de Vínculo, voltada para crianças e adolescentes. E na outra atua com a medida Socioeducativo – FASE, com estreita interface com o sistema de garantia de direitos, conforme descrito na Política Nacional de Assistência Social/PNAS E ECA/2004. Na Proteção Social Especial de Alta Complexidade se encontram as referências.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48DA">
        <w:rPr>
          <w:rFonts w:ascii="Arial" w:hAnsi="Arial" w:cs="Arial"/>
          <w:sz w:val="23"/>
          <w:szCs w:val="23"/>
        </w:rPr>
        <w:t>Baseado na LOAS, na PNAS e SUAS na qual define os destinatários que necessitam ser afastados de seu núcleo familiar e comunitário. Bem como as modalidades.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0F71E4" w:rsidRPr="00E448DA" w:rsidRDefault="000F71E4" w:rsidP="000F71E4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3"/>
          <w:szCs w:val="23"/>
        </w:rPr>
      </w:pPr>
      <w:r w:rsidRPr="00E448DA">
        <w:rPr>
          <w:rFonts w:ascii="Arial" w:hAnsi="Arial" w:cs="Arial"/>
          <w:b/>
          <w:snapToGrid w:val="0"/>
          <w:sz w:val="23"/>
          <w:szCs w:val="23"/>
        </w:rPr>
        <w:t>NOTA 02 – APRESENTAÇÃO DAS PRINCIPAIS DIRETRIZES CONTÁBEIS: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As Demonstrações Financeiras foram elaboradas de acordo com os Princípios Contábeis adotadas no Brasil atendendo às Resoluções do Conselho Federal de Contabilidade - CFC n°1.152/2009 que aprovou a NBCT 19.18 - Adoção inicial da Lei n° 11.638/2007 e da Medida Provisória n°449/2008 que alterou artigos da Lei n°6.404/76 e especialmente a Resolução 877/2000 que aprovou a NBCT 10.19, alterada pelas Resoluções 926 e 966, que estabelece critérios e procedimentos específicos de avaliação, de registros dos componentes e variações patrimoniais e de estruturação das Demonstrações Financeiras e as informações mínimas a serem divulgadas em notas explicativas das entidades sem finalidade de lucros. Esta interpretação técnica consolidada foi revogada pela ITG 2002.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03 - NOVAS PRÁTICAS CONTÁBEIS: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Por determinação da Resolução do CFC 1.152/09, a Entidade adotou as Novas Práticas Contábeis que abrange a legislação societária brasileira, os pronunciamentos, as orientações e as interpretações emitidas pelo CPC, homologados pelos órgãos reguladores e práticas adotadas pelas entidades em assuntos não regulados, desde que atendam a NBCT 1 - Estrutura Conceitual para elaboração e apresentação das Demonstrações Financeiras emitidas por este CFC e, por conseguinte, em consonância com as normas contábeis internacionais.</w:t>
      </w:r>
    </w:p>
    <w:p w:rsidR="000F71E4" w:rsidRPr="00E448DA" w:rsidRDefault="000F71E4" w:rsidP="000F71E4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3"/>
          <w:szCs w:val="23"/>
        </w:rPr>
      </w:pPr>
    </w:p>
    <w:p w:rsidR="000F71E4" w:rsidRPr="00E448DA" w:rsidRDefault="000F71E4" w:rsidP="000F71E4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3"/>
          <w:szCs w:val="23"/>
        </w:rPr>
      </w:pPr>
      <w:r w:rsidRPr="00E448DA">
        <w:rPr>
          <w:rFonts w:ascii="Arial" w:hAnsi="Arial" w:cs="Arial"/>
          <w:b/>
          <w:snapToGrid w:val="0"/>
          <w:sz w:val="23"/>
          <w:szCs w:val="23"/>
        </w:rPr>
        <w:t>NOTA 04 – RESUMO DAS PRINCIPAIS PRÁTICAS CONTÁBEIS ADOTADAS: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a) Apuração do Resultado é apurada pelo regime de competência;</w:t>
      </w:r>
    </w:p>
    <w:p w:rsidR="00553ABD" w:rsidRDefault="00553ABD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b) O Ativo Circulante Disponível é apresentado pelo saldo do Caixa; Bancos e Aplicações Financeiras acrescidas dos rendimentos proporcionais auferidos até a data de encerramento do balanço;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 xml:space="preserve">c) Os bens do Ativo Imobilizado estavam demonstrados pelo valor original. As depreciações foram calculadas pelo método linear baseado nas taxas fixadas pela IN SRF n°162/98 que </w:t>
      </w:r>
      <w:r w:rsidRPr="00E448DA">
        <w:rPr>
          <w:rFonts w:ascii="Arial" w:hAnsi="Arial" w:cs="Arial"/>
          <w:bCs/>
          <w:sz w:val="23"/>
          <w:szCs w:val="23"/>
        </w:rPr>
        <w:lastRenderedPageBreak/>
        <w:t>levam em conta a vida útil dos bens tendo como contrapartida diretamente o Patrimônio Social da Entidade.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d) O Passivo Circulante está demonstrado pelo valor original a ser recolhido no próximo exercício;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e) Por se tratar de uma Associação sem fins econômicos enquadra-se como imune para fins de Imposto de Renda.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f) Despesas e Receitas estão apropriadas obedecendo ao regime de competência;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05 – TÍTULOS DE LIQUIDEZ IMEDIATA:</w:t>
      </w:r>
    </w:p>
    <w:p w:rsidR="000F71E4" w:rsidRPr="00E448DA" w:rsidRDefault="000F71E4" w:rsidP="000F71E4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Referem-se a valores aplicados em instituições financeiras, estando assim composto:</w:t>
      </w:r>
    </w:p>
    <w:p w:rsidR="000F71E4" w:rsidRPr="00E448DA" w:rsidRDefault="00246F54" w:rsidP="000F71E4">
      <w:pPr>
        <w:spacing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noProof/>
          <w:sz w:val="23"/>
          <w:szCs w:val="23"/>
        </w:rPr>
      </w:r>
      <w:r w:rsidR="004B2C91" w:rsidRPr="00E448DA">
        <w:rPr>
          <w:rFonts w:ascii="Arial" w:hAnsi="Arial" w:cs="Arial"/>
          <w:bCs/>
          <w:sz w:val="23"/>
          <w:szCs w:val="23"/>
        </w:rPr>
        <w:object w:dxaOrig="7257" w:dyaOrig="1414">
          <v:shape id="_x0000_i1028" type="#_x0000_t75" style="width:379.8pt;height:1in" o:ole="">
            <v:imagedata r:id="rId16" o:title=""/>
          </v:shape>
          <o:OLEObject Type="Embed" ProgID="Excel.Sheet.12" ShapeID="_x0000_i1028" DrawAspect="Content" ObjectID="_1658319089" r:id="rId17"/>
        </w:objec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06 – CRÉDITOS DIVERSOS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Referem-se aos seguintes valores a receber no encerramento do balanço:</w:t>
      </w:r>
    </w:p>
    <w:p w:rsidR="000F71E4" w:rsidRPr="00E448DA" w:rsidRDefault="00246F54" w:rsidP="000F71E4">
      <w:pPr>
        <w:spacing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noProof/>
          <w:sz w:val="23"/>
          <w:szCs w:val="23"/>
        </w:rPr>
      </w:r>
      <w:r w:rsidR="004B2C91" w:rsidRPr="00E448DA">
        <w:rPr>
          <w:rFonts w:ascii="Arial" w:hAnsi="Arial" w:cs="Arial"/>
          <w:bCs/>
          <w:sz w:val="23"/>
          <w:szCs w:val="23"/>
        </w:rPr>
        <w:object w:dxaOrig="6422" w:dyaOrig="3795">
          <v:shape id="_x0000_i1029" type="#_x0000_t75" style="width:321pt;height:189.05pt" o:ole="">
            <v:imagedata r:id="rId18" o:title=""/>
          </v:shape>
          <o:OLEObject Type="Embed" ProgID="Excel.Sheet.12" ShapeID="_x0000_i1029" DrawAspect="Content" ObjectID="_1658319090" r:id="rId19"/>
        </w:objec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No encerramento do balanço a entidade tem créditos de aluguéis a receber de 1</w:t>
      </w:r>
      <w:r w:rsidR="00A909CC">
        <w:rPr>
          <w:rFonts w:ascii="Arial" w:hAnsi="Arial" w:cs="Arial"/>
          <w:bCs/>
          <w:sz w:val="23"/>
          <w:szCs w:val="23"/>
        </w:rPr>
        <w:t>2</w:t>
      </w:r>
      <w:r w:rsidRPr="00E448DA">
        <w:rPr>
          <w:rFonts w:ascii="Arial" w:hAnsi="Arial" w:cs="Arial"/>
          <w:bCs/>
          <w:sz w:val="23"/>
          <w:szCs w:val="23"/>
        </w:rPr>
        <w:t xml:space="preserve"> inquilinos, referente a processos de cobrança judicial no valor de R$ </w:t>
      </w:r>
      <w:r w:rsidR="00A909CC">
        <w:rPr>
          <w:rFonts w:ascii="Arial" w:hAnsi="Arial" w:cs="Arial"/>
          <w:bCs/>
          <w:sz w:val="23"/>
          <w:szCs w:val="23"/>
        </w:rPr>
        <w:t>160.999,26.</w:t>
      </w:r>
    </w:p>
    <w:p w:rsidR="000F71E4" w:rsidRPr="00E448DA" w:rsidRDefault="000F71E4" w:rsidP="000F71E4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:rsidR="009322C6" w:rsidRDefault="00F4440F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F4440F">
        <w:rPr>
          <w:rFonts w:ascii="Arial" w:hAnsi="Arial" w:cs="Arial"/>
          <w:bCs/>
          <w:sz w:val="23"/>
          <w:szCs w:val="23"/>
        </w:rPr>
        <w:t xml:space="preserve">No </w:t>
      </w:r>
      <w:r>
        <w:rPr>
          <w:rFonts w:ascii="Arial" w:hAnsi="Arial" w:cs="Arial"/>
          <w:bCs/>
          <w:sz w:val="23"/>
          <w:szCs w:val="23"/>
        </w:rPr>
        <w:t xml:space="preserve">exercício de 2019 a entidade efetuou a venda de um terreno denominado loteamento Paim II na cidade de São Leopoldo, efetuando contratos de promessa de compra e venda </w:t>
      </w:r>
    </w:p>
    <w:p w:rsidR="00A909CC" w:rsidRPr="00F4440F" w:rsidRDefault="00F4440F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individualmente para cada promitente comprador. O montante total dos contratos soma o valor de R$ 880.000,00, sendo recebido valores de entrada e o saldo remanescente em sessenta parcelas mensais com juros de 5% ao ano.</w:t>
      </w:r>
    </w:p>
    <w:p w:rsidR="00A909CC" w:rsidRDefault="00A909CC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07 - ATIVO IMOBILIZADO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Composição do Ativo Imobilizado em R$:</w:t>
      </w:r>
    </w:p>
    <w:p w:rsidR="009322C6" w:rsidRPr="00E448DA" w:rsidRDefault="009322C6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246F54" w:rsidP="000F71E4">
      <w:pPr>
        <w:spacing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noProof/>
          <w:sz w:val="23"/>
          <w:szCs w:val="23"/>
        </w:rPr>
      </w:r>
      <w:r w:rsidR="004B2C91" w:rsidRPr="00E448DA">
        <w:rPr>
          <w:rFonts w:ascii="Arial" w:hAnsi="Arial" w:cs="Arial"/>
          <w:bCs/>
          <w:sz w:val="23"/>
          <w:szCs w:val="23"/>
        </w:rPr>
        <w:object w:dxaOrig="9162" w:dyaOrig="2794">
          <v:shape id="_x0000_i1030" type="#_x0000_t75" style="width:487.5pt;height:171.5pt" o:ole="">
            <v:imagedata r:id="rId20" o:title=""/>
          </v:shape>
          <o:OLEObject Type="Embed" ProgID="Excel.Sheet.12" ShapeID="_x0000_i1030" DrawAspect="Content" ObjectID="_1658319091" r:id="rId21"/>
        </w:objec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08 - DAS OBRIGAÇÕES SOCIAIS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As obrigações sociais foram cumpridas nas datas aprazadas.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09 - OBRIGAÇÕES A CURTO PRAZO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 entidade na data do encerramento do balanço não estava com dívidas, sendo que apenas as Obrigações Sociais e outras contas a vencer no próximo exercício, referente à competência de 12/201</w:t>
      </w:r>
      <w:r w:rsidR="00414F9F">
        <w:rPr>
          <w:rFonts w:ascii="Arial" w:hAnsi="Arial" w:cs="Arial"/>
          <w:bCs/>
          <w:sz w:val="23"/>
          <w:szCs w:val="23"/>
        </w:rPr>
        <w:t>9</w:t>
      </w:r>
      <w:r w:rsidRPr="00E448DA">
        <w:rPr>
          <w:rFonts w:ascii="Arial" w:hAnsi="Arial" w:cs="Arial"/>
          <w:bCs/>
          <w:sz w:val="23"/>
          <w:szCs w:val="23"/>
        </w:rPr>
        <w:t xml:space="preserve">, estão demonstradas para serem recolhidas. 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10 – SUBVENÇÕES E FUNDOS SOCIAIS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Referem-se aos seguintes valores no encerramento do balanço:</w:t>
      </w:r>
    </w:p>
    <w:p w:rsidR="000F71E4" w:rsidRPr="00E448DA" w:rsidRDefault="00246F54" w:rsidP="000F71E4">
      <w:pPr>
        <w:spacing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noProof/>
          <w:sz w:val="23"/>
          <w:szCs w:val="23"/>
        </w:rPr>
      </w:r>
      <w:r w:rsidR="004B2C91" w:rsidRPr="00E448DA">
        <w:rPr>
          <w:rFonts w:ascii="Arial" w:hAnsi="Arial" w:cs="Arial"/>
          <w:bCs/>
          <w:sz w:val="23"/>
          <w:szCs w:val="23"/>
        </w:rPr>
        <w:object w:dxaOrig="5874" w:dyaOrig="2052">
          <v:shape id="_x0000_i1031" type="#_x0000_t75" style="width:294.05pt;height:102.8pt" o:ole="">
            <v:imagedata r:id="rId22" o:title=""/>
          </v:shape>
          <o:OLEObject Type="Embed" ProgID="Excel.Sheet.12" ShapeID="_x0000_i1031" DrawAspect="Content" ObjectID="_1658319092" r:id="rId23"/>
        </w:objec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414F9F" w:rsidRDefault="00414F9F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11 - PATRIMÔNIO SOCIAL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O Patrimônio Social Líquido é apresentado em valores atualizados e compreende o Patrimônio Social inicial, acrescido dos resultados dos exercícios (superávit ou déficit) ocorridos e outras incidências conforme sua demonstração.</w:t>
      </w:r>
    </w:p>
    <w:p w:rsidR="00E311DD" w:rsidRDefault="00E311DD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12 - DO RESULTADO DO EXERCÍCIO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486A97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 Superávit</w:t>
      </w:r>
      <w:r w:rsidR="000F71E4" w:rsidRPr="00E448DA">
        <w:rPr>
          <w:rFonts w:ascii="Arial" w:hAnsi="Arial" w:cs="Arial"/>
          <w:bCs/>
          <w:sz w:val="23"/>
          <w:szCs w:val="23"/>
        </w:rPr>
        <w:t xml:space="preserve"> do exercício de 201</w:t>
      </w:r>
      <w:r>
        <w:rPr>
          <w:rFonts w:ascii="Arial" w:hAnsi="Arial" w:cs="Arial"/>
          <w:bCs/>
          <w:sz w:val="23"/>
          <w:szCs w:val="23"/>
        </w:rPr>
        <w:t>9</w:t>
      </w:r>
      <w:r w:rsidR="000F71E4" w:rsidRPr="00E448DA">
        <w:rPr>
          <w:rFonts w:ascii="Arial" w:hAnsi="Arial" w:cs="Arial"/>
          <w:bCs/>
          <w:sz w:val="23"/>
          <w:szCs w:val="23"/>
        </w:rPr>
        <w:t xml:space="preserve"> será incorporado ao Patrimônio Social de conformidade com as exigências Legais, estatutárias e de acordo com a Resolução 877/2000 que aprovou a NBCT 10.19 em especial no item 10.19.2.7 que descreve que o superávit ou déficit do exercício deve ser registrado na conta Superávit ou Déficit do exercício enquanto não aprovado pela Assembl</w:t>
      </w:r>
      <w:r>
        <w:rPr>
          <w:rFonts w:ascii="Arial" w:hAnsi="Arial" w:cs="Arial"/>
          <w:bCs/>
          <w:sz w:val="23"/>
          <w:szCs w:val="23"/>
        </w:rPr>
        <w:t>é</w:t>
      </w:r>
      <w:r w:rsidR="000F71E4" w:rsidRPr="00E448DA">
        <w:rPr>
          <w:rFonts w:ascii="Arial" w:hAnsi="Arial" w:cs="Arial"/>
          <w:bCs/>
          <w:sz w:val="23"/>
          <w:szCs w:val="23"/>
        </w:rPr>
        <w:t>ia dos associados e após sua aprovação, deve ser transferido para a conta do Patrimônio Social.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13 – SUBVENÇÕES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Para a manutenção dos Programas Sociais desenvolvidos junto às crianças e adolescentes na Casa da Criança (1</w:t>
      </w:r>
      <w:r w:rsidR="00E311DD">
        <w:rPr>
          <w:rFonts w:ascii="Arial" w:hAnsi="Arial" w:cs="Arial"/>
          <w:bCs/>
          <w:sz w:val="23"/>
          <w:szCs w:val="23"/>
        </w:rPr>
        <w:t>5</w:t>
      </w:r>
      <w:r w:rsidRPr="00E448DA">
        <w:rPr>
          <w:rFonts w:ascii="Arial" w:hAnsi="Arial" w:cs="Arial"/>
          <w:bCs/>
          <w:sz w:val="23"/>
          <w:szCs w:val="23"/>
        </w:rPr>
        <w:t>0); Fase - CAS (20) e outras ações com famílias; mulheres e comunidade em situação de vulnerabilidade e risco social, o COL mantém convênios com Organizações Governamentais e Não-Governamentais, mas a sua principal fonte provém das receitas de locações de imóveis. Sendo que o valor lançado nas Receitas é o valor bruto dos aluguéis, enquanto as despesas referentes aos imóveis alugados aparecem nos itens “</w:t>
      </w:r>
      <w:r w:rsidR="005122D3">
        <w:rPr>
          <w:rFonts w:ascii="Arial" w:hAnsi="Arial" w:cs="Arial"/>
          <w:bCs/>
          <w:sz w:val="23"/>
          <w:szCs w:val="23"/>
        </w:rPr>
        <w:t>G</w:t>
      </w:r>
      <w:r>
        <w:rPr>
          <w:rFonts w:ascii="Arial" w:hAnsi="Arial" w:cs="Arial"/>
          <w:bCs/>
          <w:sz w:val="23"/>
          <w:szCs w:val="23"/>
        </w:rPr>
        <w:t>astos d</w:t>
      </w:r>
      <w:r w:rsidR="005122D3">
        <w:rPr>
          <w:rFonts w:ascii="Arial" w:hAnsi="Arial" w:cs="Arial"/>
          <w:bCs/>
          <w:sz w:val="23"/>
          <w:szCs w:val="23"/>
        </w:rPr>
        <w:t>iretos com</w:t>
      </w:r>
      <w:r w:rsidR="00553ABD">
        <w:rPr>
          <w:rFonts w:ascii="Arial" w:hAnsi="Arial" w:cs="Arial"/>
          <w:bCs/>
          <w:sz w:val="23"/>
          <w:szCs w:val="23"/>
        </w:rPr>
        <w:t xml:space="preserve"> </w:t>
      </w:r>
      <w:r w:rsidR="005122D3">
        <w:rPr>
          <w:rFonts w:ascii="Arial" w:hAnsi="Arial" w:cs="Arial"/>
          <w:bCs/>
          <w:sz w:val="23"/>
          <w:szCs w:val="23"/>
        </w:rPr>
        <w:t xml:space="preserve">despesas </w:t>
      </w:r>
      <w:r>
        <w:rPr>
          <w:rFonts w:ascii="Arial" w:hAnsi="Arial" w:cs="Arial"/>
          <w:bCs/>
          <w:sz w:val="23"/>
          <w:szCs w:val="23"/>
        </w:rPr>
        <w:t>administrativas e manutenção</w:t>
      </w:r>
      <w:r w:rsidR="005122D3">
        <w:rPr>
          <w:rFonts w:ascii="Arial" w:hAnsi="Arial" w:cs="Arial"/>
          <w:bCs/>
          <w:sz w:val="23"/>
          <w:szCs w:val="23"/>
        </w:rPr>
        <w:t xml:space="preserve"> como atividades complementares</w:t>
      </w:r>
      <w:r w:rsidRPr="00E448DA">
        <w:rPr>
          <w:rFonts w:ascii="Arial" w:hAnsi="Arial" w:cs="Arial"/>
          <w:bCs/>
          <w:sz w:val="23"/>
          <w:szCs w:val="23"/>
        </w:rPr>
        <w:t>”.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 entidade para a contabilização de suas subvenções governamentais, atendeu a Resolução n°1.143/2008 do CFC que aprovou a NBCT 19.4 - Subvenções e Assistência Governamentais.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7B5353">
        <w:rPr>
          <w:rFonts w:ascii="Arial" w:hAnsi="Arial" w:cs="Arial"/>
          <w:bCs/>
          <w:sz w:val="23"/>
          <w:szCs w:val="23"/>
        </w:rPr>
        <w:t>A Entidade recebeu subvenções do Poder Público de São Leopoldo/RS em 201</w:t>
      </w:r>
      <w:r w:rsidR="005122D3">
        <w:rPr>
          <w:rFonts w:ascii="Arial" w:hAnsi="Arial" w:cs="Arial"/>
          <w:bCs/>
          <w:sz w:val="23"/>
          <w:szCs w:val="23"/>
        </w:rPr>
        <w:t>9</w:t>
      </w:r>
      <w:r w:rsidRPr="007B5353">
        <w:rPr>
          <w:rFonts w:ascii="Arial" w:hAnsi="Arial" w:cs="Arial"/>
          <w:bCs/>
          <w:sz w:val="23"/>
          <w:szCs w:val="23"/>
        </w:rPr>
        <w:t xml:space="preserve"> no valor de R$ 2</w:t>
      </w:r>
      <w:r w:rsidR="005122D3">
        <w:rPr>
          <w:rFonts w:ascii="Arial" w:hAnsi="Arial" w:cs="Arial"/>
          <w:bCs/>
          <w:sz w:val="23"/>
          <w:szCs w:val="23"/>
        </w:rPr>
        <w:t>73.600,00</w:t>
      </w:r>
      <w:r w:rsidRPr="007B5353">
        <w:rPr>
          <w:rFonts w:ascii="Arial" w:hAnsi="Arial" w:cs="Arial"/>
          <w:bCs/>
          <w:sz w:val="23"/>
          <w:szCs w:val="23"/>
        </w:rPr>
        <w:t xml:space="preserve">, tendo a receber o valor de R$ </w:t>
      </w:r>
      <w:r w:rsidR="005122D3">
        <w:rPr>
          <w:rFonts w:ascii="Arial" w:hAnsi="Arial" w:cs="Arial"/>
          <w:bCs/>
          <w:sz w:val="23"/>
          <w:szCs w:val="23"/>
        </w:rPr>
        <w:t>22.800,00</w:t>
      </w:r>
      <w:r w:rsidRPr="007B5353">
        <w:rPr>
          <w:rFonts w:ascii="Arial" w:hAnsi="Arial" w:cs="Arial"/>
          <w:bCs/>
          <w:sz w:val="23"/>
          <w:szCs w:val="23"/>
        </w:rPr>
        <w:t xml:space="preserve">, do </w:t>
      </w:r>
      <w:r w:rsidR="005122D3">
        <w:rPr>
          <w:rFonts w:ascii="Arial" w:hAnsi="Arial" w:cs="Arial"/>
          <w:bCs/>
          <w:sz w:val="23"/>
          <w:szCs w:val="23"/>
        </w:rPr>
        <w:t>Governo Estadual o valor de R$ 1.058.529,24</w:t>
      </w:r>
      <w:r w:rsidRPr="007B5353">
        <w:rPr>
          <w:rFonts w:ascii="Arial" w:hAnsi="Arial" w:cs="Arial"/>
          <w:bCs/>
          <w:sz w:val="23"/>
          <w:szCs w:val="23"/>
        </w:rPr>
        <w:t>. Sendo que os valores foram aplicados exclusivamente no custeio das atividades fins a que se destinam e em consonância com os objetivos estatutários da entidade</w:t>
      </w:r>
      <w:r w:rsidRPr="00E448DA">
        <w:rPr>
          <w:rFonts w:ascii="Arial" w:hAnsi="Arial" w:cs="Arial"/>
          <w:bCs/>
          <w:sz w:val="23"/>
          <w:szCs w:val="23"/>
        </w:rPr>
        <w:t>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</w:t>
      </w:r>
      <w:r>
        <w:rPr>
          <w:rFonts w:ascii="Arial" w:hAnsi="Arial" w:cs="Arial"/>
          <w:b/>
          <w:bCs/>
          <w:sz w:val="23"/>
          <w:szCs w:val="23"/>
        </w:rPr>
        <w:t>4</w:t>
      </w:r>
      <w:r w:rsidRPr="00E448DA">
        <w:rPr>
          <w:rFonts w:ascii="Arial" w:hAnsi="Arial" w:cs="Arial"/>
          <w:b/>
          <w:bCs/>
          <w:sz w:val="23"/>
          <w:szCs w:val="23"/>
        </w:rPr>
        <w:t xml:space="preserve"> - APLICAÇÃO DOS RECURSOS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Os recursos da entidade foram aplicados em suas finalidades institucionais, de conformidade com seu Estatuto Social, demonstrados pelas suas Despesas e Investimentos Patrimoniais. A Entidade não remunera os membros da Diretoria e também não distribui qualquer parcela de seu resultado e renda a qualquer título ou pretexto.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53ABD" w:rsidRDefault="00553ABD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553ABD" w:rsidRDefault="00553ABD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</w:t>
      </w:r>
      <w:r>
        <w:rPr>
          <w:rFonts w:ascii="Arial" w:hAnsi="Arial" w:cs="Arial"/>
          <w:b/>
          <w:bCs/>
          <w:sz w:val="23"/>
          <w:szCs w:val="23"/>
        </w:rPr>
        <w:t>5</w:t>
      </w:r>
      <w:r w:rsidRPr="00E448DA">
        <w:rPr>
          <w:rFonts w:ascii="Arial" w:hAnsi="Arial" w:cs="Arial"/>
          <w:b/>
          <w:bCs/>
          <w:sz w:val="23"/>
          <w:szCs w:val="23"/>
        </w:rPr>
        <w:t xml:space="preserve"> – DA BENEFICIÊNCIA NA ÁREA DA ASSISTÊNCIA SOCIAL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 Entidade para o exercício de 201</w:t>
      </w:r>
      <w:r w:rsidR="005122D3">
        <w:rPr>
          <w:rFonts w:ascii="Arial" w:hAnsi="Arial" w:cs="Arial"/>
          <w:bCs/>
          <w:sz w:val="23"/>
          <w:szCs w:val="23"/>
        </w:rPr>
        <w:t>9</w:t>
      </w:r>
      <w:r w:rsidRPr="00E448DA">
        <w:rPr>
          <w:rFonts w:ascii="Arial" w:hAnsi="Arial" w:cs="Arial"/>
          <w:bCs/>
          <w:sz w:val="23"/>
          <w:szCs w:val="23"/>
        </w:rPr>
        <w:t xml:space="preserve"> se adequou e atendeu as exigências estabelecidas na legislação vigente para pleitear a renovação de sua certificação como Entidade Beneficente de Assistência Social.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</w:t>
      </w:r>
      <w:r>
        <w:rPr>
          <w:rFonts w:ascii="Arial" w:hAnsi="Arial" w:cs="Arial"/>
          <w:b/>
          <w:bCs/>
          <w:sz w:val="23"/>
          <w:szCs w:val="23"/>
        </w:rPr>
        <w:t>6</w:t>
      </w:r>
      <w:r w:rsidRPr="00E448DA">
        <w:rPr>
          <w:rFonts w:ascii="Arial" w:hAnsi="Arial" w:cs="Arial"/>
          <w:b/>
          <w:bCs/>
          <w:sz w:val="23"/>
          <w:szCs w:val="23"/>
        </w:rPr>
        <w:t xml:space="preserve"> - CONTRIBUIÇÕES PREVIDENCIÁRIAS – INSS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 Entidade usufruiu os seguintes valores de isenção das Contribuições:</w:t>
      </w:r>
    </w:p>
    <w:p w:rsidR="000F71E4" w:rsidRPr="00E448DA" w:rsidRDefault="000F71E4" w:rsidP="000F71E4">
      <w:pPr>
        <w:spacing w:line="276" w:lineRule="auto"/>
        <w:ind w:firstLine="709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 xml:space="preserve">- Cota Patronal INSS + SAT + Terceiros = R$ </w:t>
      </w:r>
      <w:r w:rsidR="005122D3">
        <w:rPr>
          <w:rFonts w:ascii="Arial" w:hAnsi="Arial" w:cs="Arial"/>
          <w:bCs/>
          <w:sz w:val="23"/>
          <w:szCs w:val="23"/>
        </w:rPr>
        <w:t>376.374,64.</w:t>
      </w:r>
    </w:p>
    <w:p w:rsidR="000F71E4" w:rsidRPr="00E448DA" w:rsidRDefault="000F71E4" w:rsidP="000F71E4">
      <w:pPr>
        <w:spacing w:line="276" w:lineRule="auto"/>
        <w:ind w:firstLine="709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- Contribuição para o Financiamento da Seguridade Social (COFINS) = R$ 0,00.</w:t>
      </w:r>
    </w:p>
    <w:p w:rsidR="000F71E4" w:rsidRPr="00E448DA" w:rsidRDefault="000F71E4" w:rsidP="000F71E4">
      <w:pPr>
        <w:spacing w:line="276" w:lineRule="auto"/>
        <w:ind w:firstLine="709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- Contribuição sobre o Lucro Líquido (CSLL) = R$ 0,00.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</w:t>
      </w:r>
      <w:r>
        <w:rPr>
          <w:rFonts w:ascii="Arial" w:hAnsi="Arial" w:cs="Arial"/>
          <w:b/>
          <w:bCs/>
          <w:sz w:val="23"/>
          <w:szCs w:val="23"/>
        </w:rPr>
        <w:t>7</w:t>
      </w:r>
      <w:r w:rsidRPr="00E448DA">
        <w:rPr>
          <w:rFonts w:ascii="Arial" w:hAnsi="Arial" w:cs="Arial"/>
          <w:b/>
          <w:bCs/>
          <w:sz w:val="23"/>
          <w:szCs w:val="23"/>
        </w:rPr>
        <w:t xml:space="preserve"> - DO ATENDIMENTO AOS REQUISITOS DA CERTIFICAÇÃO CONFORME OS PRECEITOS DA LEI 12.101/2009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A aplicação dos recursos em Gratuidade através dos Atendimentos em Assistência Social atendeu o que preceitua a Constituição Federal em seu Art°195, III, Par.7°, que concede isenção da Contribuição Social (INSS) às entidades beneficentes de assistência social e que atendam às exigências da Lei n°12.101/2009, Decreto n°7.237/10 e Portaria n°353/11 e os valores das isenções usufruídas estão demonstradas na Nota 1</w:t>
      </w:r>
      <w:r>
        <w:rPr>
          <w:rFonts w:ascii="Arial" w:hAnsi="Arial" w:cs="Arial"/>
          <w:bCs/>
          <w:sz w:val="23"/>
          <w:szCs w:val="23"/>
        </w:rPr>
        <w:t>6</w:t>
      </w:r>
      <w:r w:rsidRPr="00E448DA">
        <w:rPr>
          <w:rFonts w:ascii="Arial" w:hAnsi="Arial" w:cs="Arial"/>
          <w:bCs/>
          <w:sz w:val="23"/>
          <w:szCs w:val="23"/>
        </w:rPr>
        <w:t>.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7B5353">
        <w:rPr>
          <w:rFonts w:ascii="Arial" w:hAnsi="Arial" w:cs="Arial"/>
          <w:bCs/>
          <w:sz w:val="23"/>
          <w:szCs w:val="23"/>
        </w:rPr>
        <w:t>A instituiçã</w:t>
      </w:r>
      <w:r w:rsidR="005122D3">
        <w:rPr>
          <w:rFonts w:ascii="Arial" w:hAnsi="Arial" w:cs="Arial"/>
          <w:bCs/>
          <w:sz w:val="23"/>
          <w:szCs w:val="23"/>
        </w:rPr>
        <w:t xml:space="preserve">o atendendo aos seus objetivos, </w:t>
      </w:r>
      <w:r w:rsidRPr="007B5353">
        <w:rPr>
          <w:rFonts w:ascii="Arial" w:hAnsi="Arial" w:cs="Arial"/>
          <w:bCs/>
          <w:sz w:val="23"/>
          <w:szCs w:val="23"/>
        </w:rPr>
        <w:t>aplicou todos seus recursos em atendimentos gratuitos na Área da Assistência Social nada sendo cobrado do usuário, tendo no ano de 201</w:t>
      </w:r>
      <w:r w:rsidR="005122D3">
        <w:rPr>
          <w:rFonts w:ascii="Arial" w:hAnsi="Arial" w:cs="Arial"/>
          <w:bCs/>
          <w:sz w:val="23"/>
          <w:szCs w:val="23"/>
        </w:rPr>
        <w:t>9</w:t>
      </w:r>
      <w:r w:rsidRPr="007B5353">
        <w:rPr>
          <w:rFonts w:ascii="Arial" w:hAnsi="Arial" w:cs="Arial"/>
          <w:bCs/>
          <w:sz w:val="23"/>
          <w:szCs w:val="23"/>
        </w:rPr>
        <w:t xml:space="preserve"> realizado despesas com atendimento direto no valor de R$ </w:t>
      </w:r>
      <w:r w:rsidR="005122D3">
        <w:rPr>
          <w:rFonts w:ascii="Arial" w:hAnsi="Arial" w:cs="Arial"/>
          <w:bCs/>
          <w:sz w:val="23"/>
          <w:szCs w:val="23"/>
        </w:rPr>
        <w:t>2</w:t>
      </w:r>
      <w:r w:rsidRPr="007B5353">
        <w:rPr>
          <w:rFonts w:ascii="Arial" w:hAnsi="Arial" w:cs="Arial"/>
          <w:bCs/>
          <w:sz w:val="23"/>
          <w:szCs w:val="23"/>
        </w:rPr>
        <w:t>.</w:t>
      </w:r>
      <w:r w:rsidR="005122D3">
        <w:rPr>
          <w:rFonts w:ascii="Arial" w:hAnsi="Arial" w:cs="Arial"/>
          <w:bCs/>
          <w:sz w:val="23"/>
          <w:szCs w:val="23"/>
        </w:rPr>
        <w:t>354.931,71</w:t>
      </w:r>
      <w:r w:rsidRPr="007B5353">
        <w:rPr>
          <w:rFonts w:ascii="Arial" w:hAnsi="Arial" w:cs="Arial"/>
          <w:bCs/>
          <w:sz w:val="23"/>
          <w:szCs w:val="23"/>
        </w:rPr>
        <w:t xml:space="preserve"> e indiretas </w:t>
      </w:r>
      <w:r w:rsidR="005122D3">
        <w:rPr>
          <w:rFonts w:ascii="Arial" w:hAnsi="Arial" w:cs="Arial"/>
          <w:bCs/>
          <w:sz w:val="23"/>
          <w:szCs w:val="23"/>
        </w:rPr>
        <w:t xml:space="preserve">com valores de Atividades Complementares </w:t>
      </w:r>
      <w:r w:rsidRPr="007B5353">
        <w:rPr>
          <w:rFonts w:ascii="Arial" w:hAnsi="Arial" w:cs="Arial"/>
          <w:bCs/>
          <w:sz w:val="23"/>
          <w:szCs w:val="23"/>
        </w:rPr>
        <w:t xml:space="preserve">no valor de R$ </w:t>
      </w:r>
      <w:r w:rsidR="009A681D">
        <w:rPr>
          <w:rFonts w:ascii="Arial" w:hAnsi="Arial" w:cs="Arial"/>
          <w:bCs/>
          <w:sz w:val="23"/>
          <w:szCs w:val="23"/>
        </w:rPr>
        <w:t>804.550,84</w:t>
      </w:r>
      <w:r w:rsidRPr="00E448DA">
        <w:rPr>
          <w:rFonts w:ascii="Arial" w:hAnsi="Arial" w:cs="Arial"/>
          <w:bCs/>
          <w:color w:val="FF0000"/>
          <w:sz w:val="23"/>
          <w:szCs w:val="23"/>
        </w:rPr>
        <w:t>.</w:t>
      </w:r>
    </w:p>
    <w:p w:rsidR="000F71E4" w:rsidRDefault="000F71E4" w:rsidP="000F71E4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2B01C5" w:rsidRDefault="002B01C5" w:rsidP="000F71E4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NOTA 18 – ENCERRAMENTO DO PROGRAMA CAS:</w:t>
      </w:r>
    </w:p>
    <w:p w:rsidR="002B01C5" w:rsidRDefault="002B01C5" w:rsidP="000F71E4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2B01C5" w:rsidRPr="002B01C5" w:rsidRDefault="002B01C5" w:rsidP="002B01C5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Em reunião do Colegiado do Conselho Diretor do Círculo Operário Leopoldense - COL, realizada em 02 de setembro de 2019, definiu pelo encerramento do Programa CAS – Centro de Atendimento em Semiliberdade em 30 de abril de 2020. Neste sentido, foi comunicado a FASE, Judiciário, Ministério Público e Defensoria Pública.</w:t>
      </w:r>
    </w:p>
    <w:p w:rsidR="002B01C5" w:rsidRPr="00E448DA" w:rsidRDefault="002B01C5" w:rsidP="000F71E4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  <w:r w:rsidRPr="00E448DA">
        <w:rPr>
          <w:rFonts w:ascii="Arial" w:hAnsi="Arial" w:cs="Arial"/>
          <w:b/>
          <w:bCs/>
          <w:sz w:val="23"/>
          <w:szCs w:val="23"/>
        </w:rPr>
        <w:t>NOTA 1</w:t>
      </w:r>
      <w:r w:rsidR="00002B82">
        <w:rPr>
          <w:rFonts w:ascii="Arial" w:hAnsi="Arial" w:cs="Arial"/>
          <w:b/>
          <w:bCs/>
          <w:sz w:val="23"/>
          <w:szCs w:val="23"/>
        </w:rPr>
        <w:t>9</w:t>
      </w:r>
      <w:r w:rsidRPr="00E448DA">
        <w:rPr>
          <w:rFonts w:ascii="Arial" w:hAnsi="Arial" w:cs="Arial"/>
          <w:b/>
          <w:bCs/>
          <w:sz w:val="23"/>
          <w:szCs w:val="23"/>
        </w:rPr>
        <w:t xml:space="preserve"> – EVENTOS SUBSEQUENTES</w:t>
      </w: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0F71E4" w:rsidRPr="00E448DA" w:rsidRDefault="000F71E4" w:rsidP="000F71E4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E448DA">
        <w:rPr>
          <w:rFonts w:ascii="Arial" w:hAnsi="Arial" w:cs="Arial"/>
          <w:bCs/>
          <w:sz w:val="23"/>
          <w:szCs w:val="23"/>
        </w:rPr>
        <w:t>Em 31 de dezembro de 201</w:t>
      </w:r>
      <w:r w:rsidR="005122D3">
        <w:rPr>
          <w:rFonts w:ascii="Arial" w:hAnsi="Arial" w:cs="Arial"/>
          <w:bCs/>
          <w:sz w:val="23"/>
          <w:szCs w:val="23"/>
        </w:rPr>
        <w:t>9</w:t>
      </w:r>
      <w:r w:rsidRPr="00E448DA">
        <w:rPr>
          <w:rFonts w:ascii="Arial" w:hAnsi="Arial" w:cs="Arial"/>
          <w:bCs/>
          <w:sz w:val="23"/>
          <w:szCs w:val="23"/>
        </w:rPr>
        <w:t>, a entidade não tem conhecimento de possíveis eventos que poderão ocorrer e influenciar o balanço da instituição.</w:t>
      </w:r>
    </w:p>
    <w:p w:rsidR="008F58F5" w:rsidRDefault="008F58F5" w:rsidP="008F58F5">
      <w:pPr>
        <w:rPr>
          <w:rFonts w:ascii="Arial" w:hAnsi="Arial" w:cs="Arial"/>
          <w:b/>
        </w:rPr>
      </w:pPr>
    </w:p>
    <w:p w:rsidR="00553ABD" w:rsidRDefault="009A681D" w:rsidP="008A5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8A53CF" w:rsidRDefault="00553ABD" w:rsidP="008A5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9A681D">
        <w:rPr>
          <w:rFonts w:ascii="Arial" w:hAnsi="Arial" w:cs="Arial"/>
          <w:b/>
        </w:rPr>
        <w:t xml:space="preserve">    Maria de Fátima Pranke</w:t>
      </w:r>
      <w:r w:rsidR="008A53CF">
        <w:rPr>
          <w:rFonts w:ascii="Arial" w:hAnsi="Arial" w:cs="Arial"/>
          <w:b/>
        </w:rPr>
        <w:t xml:space="preserve">                                    Ademir Schmidt</w:t>
      </w:r>
    </w:p>
    <w:p w:rsidR="008A53CF" w:rsidRDefault="00F4440F" w:rsidP="008A5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53AB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</w:t>
      </w:r>
      <w:r w:rsidR="008A53CF">
        <w:rPr>
          <w:rFonts w:ascii="Arial" w:hAnsi="Arial" w:cs="Arial"/>
          <w:b/>
        </w:rPr>
        <w:t xml:space="preserve"> Representante Legal                </w:t>
      </w:r>
      <w:r>
        <w:rPr>
          <w:rFonts w:ascii="Arial" w:hAnsi="Arial" w:cs="Arial"/>
          <w:b/>
        </w:rPr>
        <w:t xml:space="preserve">                   </w:t>
      </w:r>
      <w:r w:rsidR="008A53CF">
        <w:rPr>
          <w:rFonts w:ascii="Arial" w:hAnsi="Arial" w:cs="Arial"/>
          <w:b/>
        </w:rPr>
        <w:t xml:space="preserve">    </w:t>
      </w:r>
      <w:r w:rsidR="00C75827">
        <w:rPr>
          <w:rFonts w:ascii="Arial" w:hAnsi="Arial" w:cs="Arial"/>
          <w:b/>
        </w:rPr>
        <w:t xml:space="preserve">Tc.crc – 40.784                                                                                           </w:t>
      </w:r>
    </w:p>
    <w:sectPr w:rsidR="008A53CF" w:rsidSect="007227B6">
      <w:headerReference w:type="default" r:id="rId24"/>
      <w:footerReference w:type="default" r:id="rId25"/>
      <w:pgSz w:w="11906" w:h="16838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6B" w:rsidRDefault="0020046B" w:rsidP="00AC1A87">
      <w:r>
        <w:separator/>
      </w:r>
    </w:p>
  </w:endnote>
  <w:endnote w:type="continuationSeparator" w:id="0">
    <w:p w:rsidR="0020046B" w:rsidRDefault="0020046B" w:rsidP="00A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DB" w:rsidRDefault="00246F54" w:rsidP="00AC1A87">
    <w:pPr>
      <w:pStyle w:val="Rodap"/>
      <w:pBdr>
        <w:top w:val="thinThickSmallGap" w:sz="24" w:space="3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1571625</wp:posOffset>
              </wp:positionH>
              <wp:positionV relativeFrom="paragraph">
                <wp:posOffset>81280</wp:posOffset>
              </wp:positionV>
              <wp:extent cx="3028950" cy="63055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895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4DB" w:rsidRPr="001929ED" w:rsidRDefault="004274DB" w:rsidP="00AC1A87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929ED">
                            <w:rPr>
                              <w:rFonts w:cs="Arial"/>
                              <w:sz w:val="18"/>
                              <w:szCs w:val="18"/>
                            </w:rPr>
                            <w:t>Círculo Operário Leopoldense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- COL</w:t>
                          </w:r>
                          <w:r w:rsidRPr="001929ED">
                            <w:rPr>
                              <w:rFonts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ua Primeiro de Março, 777 –</w:t>
                          </w:r>
                          <w:r w:rsidRPr="001929E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Centro, São Leopoldo</w:t>
                          </w:r>
                          <w:r w:rsidRPr="001929ED"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AC1A87">
                            <w:rPr>
                              <w:rStyle w:val="Forte"/>
                              <w:rFonts w:cs="Arial"/>
                              <w:b w:val="0"/>
                              <w:sz w:val="18"/>
                              <w:szCs w:val="18"/>
                              <w:bdr w:val="none" w:sz="0" w:space="0" w:color="auto" w:frame="1"/>
                            </w:rPr>
                            <w:t>E-mail:</w:t>
                          </w:r>
                          <w:r w:rsidRPr="001929ED">
                            <w:rPr>
                              <w:rStyle w:val="apple-converted-space"/>
                              <w:rFonts w:cs="Arial"/>
                              <w:sz w:val="18"/>
                              <w:szCs w:val="18"/>
                            </w:rPr>
                            <w:t> </w:t>
                          </w:r>
                          <w:r w:rsidRPr="001929ED">
                            <w:rPr>
                              <w:rFonts w:cs="Arial"/>
                              <w:sz w:val="18"/>
                              <w:szCs w:val="18"/>
                            </w:rPr>
                            <w:t>col@col.org.br</w:t>
                          </w:r>
                          <w:r w:rsidRPr="001929ED">
                            <w:rPr>
                              <w:rStyle w:val="apple-converted-space"/>
                              <w:rFonts w:cs="Arial"/>
                              <w:sz w:val="18"/>
                              <w:szCs w:val="18"/>
                            </w:rPr>
                            <w:t xml:space="preserve">  </w:t>
                          </w:r>
                          <w:r w:rsidRPr="00AC1A87">
                            <w:rPr>
                              <w:rStyle w:val="Forte"/>
                              <w:rFonts w:cs="Arial"/>
                              <w:b w:val="0"/>
                              <w:sz w:val="18"/>
                              <w:szCs w:val="18"/>
                              <w:bdr w:val="none" w:sz="0" w:space="0" w:color="auto" w:frame="1"/>
                            </w:rPr>
                            <w:t>Telefone</w:t>
                          </w:r>
                          <w:r w:rsidRPr="001929ED">
                            <w:rPr>
                              <w:rStyle w:val="Forte"/>
                              <w:rFonts w:cs="Arial"/>
                              <w:sz w:val="18"/>
                              <w:szCs w:val="18"/>
                              <w:bdr w:val="none" w:sz="0" w:space="0" w:color="auto" w:frame="1"/>
                            </w:rPr>
                            <w:t>:</w:t>
                          </w:r>
                          <w:r w:rsidRPr="001929ED">
                            <w:rPr>
                              <w:rStyle w:val="apple-converted-space"/>
                              <w:rFonts w:cs="Arial"/>
                              <w:sz w:val="18"/>
                              <w:szCs w:val="18"/>
                            </w:rPr>
                            <w:t> </w:t>
                          </w:r>
                          <w:r w:rsidRPr="001929ED">
                            <w:rPr>
                              <w:rFonts w:cs="Arial"/>
                              <w:sz w:val="18"/>
                              <w:szCs w:val="18"/>
                            </w:rPr>
                            <w:t>51 - 35921681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/ 3590-1982</w:t>
                          </w:r>
                        </w:p>
                        <w:p w:rsidR="004274DB" w:rsidRDefault="004274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3.75pt;margin-top:6.4pt;width:238.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" stroked="f">
              <v:path arrowok="t"/>
              <v:textbox>
                <w:txbxContent>
                  <w:p w:rsidR="004274DB" w:rsidRPr="001929ED" w:rsidRDefault="004274DB" w:rsidP="00AC1A87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1929ED">
                      <w:rPr>
                        <w:rFonts w:cs="Arial"/>
                        <w:sz w:val="18"/>
                        <w:szCs w:val="18"/>
                      </w:rPr>
                      <w:t>Círculo Operário Leopoldense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- COL</w:t>
                    </w:r>
                    <w:r w:rsidRPr="001929ED">
                      <w:rPr>
                        <w:rFonts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ua Primeiro de Março, 777 –</w:t>
                    </w:r>
                    <w:r w:rsidRPr="001929ED">
                      <w:rPr>
                        <w:rFonts w:cs="Arial"/>
                        <w:sz w:val="18"/>
                        <w:szCs w:val="18"/>
                      </w:rPr>
                      <w:t xml:space="preserve"> Centro, São Leopoldo</w:t>
                    </w:r>
                    <w:r w:rsidRPr="001929ED"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AC1A87">
                      <w:rPr>
                        <w:rStyle w:val="Forte"/>
                        <w:rFonts w:cs="Arial"/>
                        <w:b w:val="0"/>
                        <w:sz w:val="18"/>
                        <w:szCs w:val="18"/>
                        <w:bdr w:val="none" w:sz="0" w:space="0" w:color="auto" w:frame="1"/>
                      </w:rPr>
                      <w:t>E-mail:</w:t>
                    </w:r>
                    <w:r w:rsidRPr="001929ED">
                      <w:rPr>
                        <w:rStyle w:val="apple-converted-space"/>
                        <w:rFonts w:cs="Arial"/>
                        <w:sz w:val="18"/>
                        <w:szCs w:val="18"/>
                      </w:rPr>
                      <w:t> </w:t>
                    </w:r>
                    <w:r w:rsidRPr="001929ED">
                      <w:rPr>
                        <w:rFonts w:cs="Arial"/>
                        <w:sz w:val="18"/>
                        <w:szCs w:val="18"/>
                      </w:rPr>
                      <w:t>col@col.org.br</w:t>
                    </w:r>
                    <w:r w:rsidRPr="001929ED">
                      <w:rPr>
                        <w:rStyle w:val="apple-converted-space"/>
                        <w:rFonts w:cs="Arial"/>
                        <w:sz w:val="18"/>
                        <w:szCs w:val="18"/>
                      </w:rPr>
                      <w:t xml:space="preserve">  </w:t>
                    </w:r>
                    <w:r w:rsidRPr="00AC1A87">
                      <w:rPr>
                        <w:rStyle w:val="Forte"/>
                        <w:rFonts w:cs="Arial"/>
                        <w:b w:val="0"/>
                        <w:sz w:val="18"/>
                        <w:szCs w:val="18"/>
                        <w:bdr w:val="none" w:sz="0" w:space="0" w:color="auto" w:frame="1"/>
                      </w:rPr>
                      <w:t>Telefone</w:t>
                    </w:r>
                    <w:r w:rsidRPr="001929ED">
                      <w:rPr>
                        <w:rStyle w:val="Forte"/>
                        <w:rFonts w:cs="Arial"/>
                        <w:sz w:val="18"/>
                        <w:szCs w:val="18"/>
                        <w:bdr w:val="none" w:sz="0" w:space="0" w:color="auto" w:frame="1"/>
                      </w:rPr>
                      <w:t>:</w:t>
                    </w:r>
                    <w:r w:rsidRPr="001929ED">
                      <w:rPr>
                        <w:rStyle w:val="apple-converted-space"/>
                        <w:rFonts w:cs="Arial"/>
                        <w:sz w:val="18"/>
                        <w:szCs w:val="18"/>
                      </w:rPr>
                      <w:t> </w:t>
                    </w:r>
                    <w:r w:rsidRPr="001929ED">
                      <w:rPr>
                        <w:rFonts w:cs="Arial"/>
                        <w:sz w:val="18"/>
                        <w:szCs w:val="18"/>
                      </w:rPr>
                      <w:t>51 - 35921681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/ 3590-1982</w:t>
                    </w:r>
                  </w:p>
                  <w:p w:rsidR="004274DB" w:rsidRDefault="004274DB"/>
                </w:txbxContent>
              </v:textbox>
              <w10:wrap anchorx="margin"/>
            </v:shape>
          </w:pict>
        </mc:Fallback>
      </mc:AlternateContent>
    </w:r>
    <w:r w:rsidR="004274DB">
      <w:rPr>
        <w:rFonts w:asciiTheme="majorHAnsi" w:hAnsiTheme="majorHAnsi"/>
      </w:rPr>
      <w:ptab w:relativeTo="margin" w:alignment="right" w:leader="none"/>
    </w:r>
  </w:p>
  <w:p w:rsidR="004274DB" w:rsidRDefault="004274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6B" w:rsidRDefault="0020046B" w:rsidP="00AC1A87">
      <w:r>
        <w:separator/>
      </w:r>
    </w:p>
  </w:footnote>
  <w:footnote w:type="continuationSeparator" w:id="0">
    <w:p w:rsidR="0020046B" w:rsidRDefault="0020046B" w:rsidP="00AC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DB" w:rsidRDefault="004274DB" w:rsidP="00350E5E">
    <w:pPr>
      <w:pStyle w:val="Cabealho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-1101090</wp:posOffset>
          </wp:positionV>
          <wp:extent cx="1079500" cy="895350"/>
          <wp:effectExtent l="19050" t="0" r="6350" b="0"/>
          <wp:wrapSquare wrapText="bothSides"/>
          <wp:docPr id="10" name="Imagem 1" descr="C:\Users\SERVIDOR\Desktop\FOTOS\Banco de imagens\quem-somo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DOR\Desktop\FOTOS\Banco de imagens\quem-som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4DB" w:rsidRDefault="00246F54" w:rsidP="00FC4DA9">
    <w:pPr>
      <w:pStyle w:val="Cabealh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3514725" cy="40005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147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74DB" w:rsidRPr="009C21A4" w:rsidRDefault="004274DB" w:rsidP="009C21A4">
                          <w:pPr>
                            <w:pStyle w:val="PargrafodaLista"/>
                            <w:ind w:left="900"/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9C21A4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CÍRCULO OPERÁRIO LEOPOLDENSE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3.95pt;width:276.75pt;height:3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" filled="f" fillcolor="white [3201]" stroked="f" strokecolor="black [3200]" strokeweight="1pt">
              <v:stroke dashstyle="dash"/>
              <v:path arrowok="t"/>
              <v:textbox>
                <w:txbxContent>
                  <w:p w:rsidR="004274DB" w:rsidRPr="009C21A4" w:rsidRDefault="004274DB" w:rsidP="009C21A4">
                    <w:pPr>
                      <w:pStyle w:val="PargrafodaLista"/>
                      <w:ind w:left="900"/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9C21A4">
                      <w:rPr>
                        <w:b/>
                        <w:color w:val="C00000"/>
                        <w:sz w:val="24"/>
                        <w:szCs w:val="24"/>
                      </w:rPr>
                      <w:t>CÍRCULO OPERÁRIO LEOPOLDENSE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274DB" w:rsidRDefault="004274DB" w:rsidP="00FC4DA9">
    <w:pPr>
      <w:pStyle w:val="Cabealh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274DB" w:rsidRDefault="004274DB" w:rsidP="00FC4DA9">
    <w:pPr>
      <w:pStyle w:val="Cabealh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274DB" w:rsidRDefault="004274DB" w:rsidP="00FC4DA9">
    <w:pPr>
      <w:pStyle w:val="Cabealh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274DB" w:rsidRPr="00FC4DA9" w:rsidRDefault="004274DB" w:rsidP="00FC4DA9">
    <w:pPr>
      <w:pStyle w:val="Cabealh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A3B"/>
    <w:multiLevelType w:val="hybridMultilevel"/>
    <w:tmpl w:val="1318E2CE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CDE2947"/>
    <w:multiLevelType w:val="multilevel"/>
    <w:tmpl w:val="A62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2F5232"/>
    <w:multiLevelType w:val="hybridMultilevel"/>
    <w:tmpl w:val="13FC028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87"/>
    <w:rsid w:val="00002B82"/>
    <w:rsid w:val="000104A9"/>
    <w:rsid w:val="00017C05"/>
    <w:rsid w:val="00023303"/>
    <w:rsid w:val="00060331"/>
    <w:rsid w:val="00071FA7"/>
    <w:rsid w:val="0009200C"/>
    <w:rsid w:val="00095401"/>
    <w:rsid w:val="000B1BE1"/>
    <w:rsid w:val="000C0CA9"/>
    <w:rsid w:val="000C0DCF"/>
    <w:rsid w:val="000C1D85"/>
    <w:rsid w:val="000D0FC3"/>
    <w:rsid w:val="000E72C6"/>
    <w:rsid w:val="000F0EC6"/>
    <w:rsid w:val="000F71E4"/>
    <w:rsid w:val="001226EF"/>
    <w:rsid w:val="0014138C"/>
    <w:rsid w:val="00146175"/>
    <w:rsid w:val="001573E1"/>
    <w:rsid w:val="00163513"/>
    <w:rsid w:val="0018058D"/>
    <w:rsid w:val="00182F2C"/>
    <w:rsid w:val="001B23FF"/>
    <w:rsid w:val="001B38AE"/>
    <w:rsid w:val="001C52A8"/>
    <w:rsid w:val="001D52EF"/>
    <w:rsid w:val="001E03D4"/>
    <w:rsid w:val="0020046B"/>
    <w:rsid w:val="002044AF"/>
    <w:rsid w:val="002063EF"/>
    <w:rsid w:val="00210F36"/>
    <w:rsid w:val="002123AA"/>
    <w:rsid w:val="0024626B"/>
    <w:rsid w:val="00246F54"/>
    <w:rsid w:val="00267C29"/>
    <w:rsid w:val="00273E87"/>
    <w:rsid w:val="00281EF9"/>
    <w:rsid w:val="002858ED"/>
    <w:rsid w:val="002916E3"/>
    <w:rsid w:val="002A1446"/>
    <w:rsid w:val="002A46F0"/>
    <w:rsid w:val="002B01C5"/>
    <w:rsid w:val="002B4EF2"/>
    <w:rsid w:val="002B4EFB"/>
    <w:rsid w:val="002B7152"/>
    <w:rsid w:val="002E5448"/>
    <w:rsid w:val="002F1470"/>
    <w:rsid w:val="002F458D"/>
    <w:rsid w:val="00324BB7"/>
    <w:rsid w:val="00326B9A"/>
    <w:rsid w:val="00332C62"/>
    <w:rsid w:val="00333047"/>
    <w:rsid w:val="00335A53"/>
    <w:rsid w:val="00350E5E"/>
    <w:rsid w:val="00361E0B"/>
    <w:rsid w:val="00362C28"/>
    <w:rsid w:val="00386FB5"/>
    <w:rsid w:val="00390BF4"/>
    <w:rsid w:val="003B68B3"/>
    <w:rsid w:val="003E35CE"/>
    <w:rsid w:val="003F5E82"/>
    <w:rsid w:val="00400AD6"/>
    <w:rsid w:val="004033A7"/>
    <w:rsid w:val="00414F9F"/>
    <w:rsid w:val="004202E0"/>
    <w:rsid w:val="004274DB"/>
    <w:rsid w:val="00436C9A"/>
    <w:rsid w:val="00452EAD"/>
    <w:rsid w:val="00456664"/>
    <w:rsid w:val="0046059B"/>
    <w:rsid w:val="00486A97"/>
    <w:rsid w:val="004C7D19"/>
    <w:rsid w:val="004D74F4"/>
    <w:rsid w:val="004E0E17"/>
    <w:rsid w:val="004E19A7"/>
    <w:rsid w:val="004E530B"/>
    <w:rsid w:val="004F095E"/>
    <w:rsid w:val="00505EAF"/>
    <w:rsid w:val="005122D3"/>
    <w:rsid w:val="00516A14"/>
    <w:rsid w:val="005277DE"/>
    <w:rsid w:val="00553ABD"/>
    <w:rsid w:val="00557587"/>
    <w:rsid w:val="00573F70"/>
    <w:rsid w:val="00591A4F"/>
    <w:rsid w:val="005923DD"/>
    <w:rsid w:val="00592EC9"/>
    <w:rsid w:val="005B5CEE"/>
    <w:rsid w:val="005D32F9"/>
    <w:rsid w:val="005E1CDF"/>
    <w:rsid w:val="005F5706"/>
    <w:rsid w:val="005F7BFE"/>
    <w:rsid w:val="00602E01"/>
    <w:rsid w:val="00620ED6"/>
    <w:rsid w:val="0063106B"/>
    <w:rsid w:val="00645628"/>
    <w:rsid w:val="00645B89"/>
    <w:rsid w:val="0064712C"/>
    <w:rsid w:val="00664D1D"/>
    <w:rsid w:val="00682152"/>
    <w:rsid w:val="006822EF"/>
    <w:rsid w:val="00682C16"/>
    <w:rsid w:val="006874F9"/>
    <w:rsid w:val="006C0BAD"/>
    <w:rsid w:val="006C0DD5"/>
    <w:rsid w:val="00703626"/>
    <w:rsid w:val="0071091E"/>
    <w:rsid w:val="007140EF"/>
    <w:rsid w:val="0071551D"/>
    <w:rsid w:val="00721500"/>
    <w:rsid w:val="007227B6"/>
    <w:rsid w:val="0072782F"/>
    <w:rsid w:val="00732101"/>
    <w:rsid w:val="007344F9"/>
    <w:rsid w:val="007357D2"/>
    <w:rsid w:val="007620F1"/>
    <w:rsid w:val="007638AA"/>
    <w:rsid w:val="0076427B"/>
    <w:rsid w:val="00777D43"/>
    <w:rsid w:val="00777E7C"/>
    <w:rsid w:val="007870FF"/>
    <w:rsid w:val="007A4B49"/>
    <w:rsid w:val="007B3D68"/>
    <w:rsid w:val="007B7A3C"/>
    <w:rsid w:val="007C048E"/>
    <w:rsid w:val="007D0F16"/>
    <w:rsid w:val="007F0F20"/>
    <w:rsid w:val="007F2661"/>
    <w:rsid w:val="00801EB4"/>
    <w:rsid w:val="00807FD3"/>
    <w:rsid w:val="008136A9"/>
    <w:rsid w:val="008307D3"/>
    <w:rsid w:val="00843531"/>
    <w:rsid w:val="00852FE8"/>
    <w:rsid w:val="0087013F"/>
    <w:rsid w:val="0087208D"/>
    <w:rsid w:val="0088392F"/>
    <w:rsid w:val="00885471"/>
    <w:rsid w:val="0089797C"/>
    <w:rsid w:val="008A1449"/>
    <w:rsid w:val="008A53CF"/>
    <w:rsid w:val="008C44A0"/>
    <w:rsid w:val="008E4043"/>
    <w:rsid w:val="008E740F"/>
    <w:rsid w:val="008F58F5"/>
    <w:rsid w:val="008F6C55"/>
    <w:rsid w:val="008F734F"/>
    <w:rsid w:val="00913C85"/>
    <w:rsid w:val="00927E9C"/>
    <w:rsid w:val="009322C6"/>
    <w:rsid w:val="009420B3"/>
    <w:rsid w:val="00946FE1"/>
    <w:rsid w:val="009640A1"/>
    <w:rsid w:val="00981793"/>
    <w:rsid w:val="009950DB"/>
    <w:rsid w:val="00996034"/>
    <w:rsid w:val="00996871"/>
    <w:rsid w:val="009A315D"/>
    <w:rsid w:val="009A681D"/>
    <w:rsid w:val="009B09C7"/>
    <w:rsid w:val="009B7DE7"/>
    <w:rsid w:val="009C21A4"/>
    <w:rsid w:val="009C5819"/>
    <w:rsid w:val="009F10B0"/>
    <w:rsid w:val="009F57F9"/>
    <w:rsid w:val="00A02589"/>
    <w:rsid w:val="00A11DA6"/>
    <w:rsid w:val="00A238DF"/>
    <w:rsid w:val="00A25CB0"/>
    <w:rsid w:val="00A41227"/>
    <w:rsid w:val="00A53FA6"/>
    <w:rsid w:val="00A63C09"/>
    <w:rsid w:val="00A909CC"/>
    <w:rsid w:val="00A94A39"/>
    <w:rsid w:val="00A968EB"/>
    <w:rsid w:val="00AA29E4"/>
    <w:rsid w:val="00AA77AC"/>
    <w:rsid w:val="00AB1493"/>
    <w:rsid w:val="00AB694B"/>
    <w:rsid w:val="00AC18C9"/>
    <w:rsid w:val="00AC1A87"/>
    <w:rsid w:val="00AD11AD"/>
    <w:rsid w:val="00AE15B1"/>
    <w:rsid w:val="00AE2FA6"/>
    <w:rsid w:val="00AE30A9"/>
    <w:rsid w:val="00AE3FD3"/>
    <w:rsid w:val="00AF6A1E"/>
    <w:rsid w:val="00B36DCE"/>
    <w:rsid w:val="00B54081"/>
    <w:rsid w:val="00B6165B"/>
    <w:rsid w:val="00B73A94"/>
    <w:rsid w:val="00B741CD"/>
    <w:rsid w:val="00B815F7"/>
    <w:rsid w:val="00BB1D1E"/>
    <w:rsid w:val="00BC5A70"/>
    <w:rsid w:val="00BD4024"/>
    <w:rsid w:val="00BD683F"/>
    <w:rsid w:val="00BE116E"/>
    <w:rsid w:val="00BF1223"/>
    <w:rsid w:val="00BF3C8D"/>
    <w:rsid w:val="00C05E81"/>
    <w:rsid w:val="00C1074A"/>
    <w:rsid w:val="00C2214A"/>
    <w:rsid w:val="00C31549"/>
    <w:rsid w:val="00C36C46"/>
    <w:rsid w:val="00C43F74"/>
    <w:rsid w:val="00C517C5"/>
    <w:rsid w:val="00C60471"/>
    <w:rsid w:val="00C75827"/>
    <w:rsid w:val="00C75DEA"/>
    <w:rsid w:val="00C77CED"/>
    <w:rsid w:val="00C8440F"/>
    <w:rsid w:val="00CC0FEE"/>
    <w:rsid w:val="00CF069D"/>
    <w:rsid w:val="00D244EF"/>
    <w:rsid w:val="00D309FE"/>
    <w:rsid w:val="00D31183"/>
    <w:rsid w:val="00D33109"/>
    <w:rsid w:val="00D57F35"/>
    <w:rsid w:val="00D62D9A"/>
    <w:rsid w:val="00D62E08"/>
    <w:rsid w:val="00D72C10"/>
    <w:rsid w:val="00D8694C"/>
    <w:rsid w:val="00D9521C"/>
    <w:rsid w:val="00DB49BA"/>
    <w:rsid w:val="00DE1B22"/>
    <w:rsid w:val="00DF01A5"/>
    <w:rsid w:val="00E10AF5"/>
    <w:rsid w:val="00E17856"/>
    <w:rsid w:val="00E311DD"/>
    <w:rsid w:val="00E43F3F"/>
    <w:rsid w:val="00E552BE"/>
    <w:rsid w:val="00E55418"/>
    <w:rsid w:val="00E569D7"/>
    <w:rsid w:val="00E80067"/>
    <w:rsid w:val="00E975D6"/>
    <w:rsid w:val="00EB0133"/>
    <w:rsid w:val="00EC0E37"/>
    <w:rsid w:val="00EC7740"/>
    <w:rsid w:val="00F05B9E"/>
    <w:rsid w:val="00F13238"/>
    <w:rsid w:val="00F2635E"/>
    <w:rsid w:val="00F441A5"/>
    <w:rsid w:val="00F4440F"/>
    <w:rsid w:val="00F4699A"/>
    <w:rsid w:val="00F55F04"/>
    <w:rsid w:val="00F62285"/>
    <w:rsid w:val="00F62DE8"/>
    <w:rsid w:val="00F64E23"/>
    <w:rsid w:val="00F66438"/>
    <w:rsid w:val="00F760D7"/>
    <w:rsid w:val="00F930D7"/>
    <w:rsid w:val="00FA398A"/>
    <w:rsid w:val="00FA3E8E"/>
    <w:rsid w:val="00FB1872"/>
    <w:rsid w:val="00FB23EE"/>
    <w:rsid w:val="00FC4DA9"/>
    <w:rsid w:val="00FD7B02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5:docId w15:val="{A6301E1E-0D9B-5C4F-B4FC-A99FCCD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C1A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C1A87"/>
  </w:style>
  <w:style w:type="paragraph" w:styleId="Rodap">
    <w:name w:val="footer"/>
    <w:basedOn w:val="Normal"/>
    <w:link w:val="RodapChar"/>
    <w:uiPriority w:val="99"/>
    <w:unhideWhenUsed/>
    <w:rsid w:val="00AC1A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C1A87"/>
  </w:style>
  <w:style w:type="paragraph" w:styleId="Textodebalo">
    <w:name w:val="Balloon Text"/>
    <w:basedOn w:val="Normal"/>
    <w:link w:val="TextodebaloChar"/>
    <w:uiPriority w:val="99"/>
    <w:semiHidden/>
    <w:unhideWhenUsed/>
    <w:rsid w:val="00AC1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C1A87"/>
  </w:style>
  <w:style w:type="character" w:styleId="Forte">
    <w:name w:val="Strong"/>
    <w:basedOn w:val="Fontepargpadro"/>
    <w:uiPriority w:val="22"/>
    <w:qFormat/>
    <w:rsid w:val="00AC1A87"/>
    <w:rPr>
      <w:b/>
      <w:bCs/>
    </w:rPr>
  </w:style>
  <w:style w:type="character" w:styleId="Hyperlink">
    <w:name w:val="Hyperlink"/>
    <w:rsid w:val="00AC1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7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package" Target="embeddings/Planilha_do_Microsoft_Office_Excel3.xlsx" /><Relationship Id="rId18" Type="http://schemas.openxmlformats.org/officeDocument/2006/relationships/image" Target="media/image6.emf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package" Target="embeddings/Planilha_do_Microsoft_Office_Excel7.xlsx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package" Target="embeddings/Planilha_do_Microsoft_Office_Excel5.xlsx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image" Target="media/image5.emf" /><Relationship Id="rId20" Type="http://schemas.openxmlformats.org/officeDocument/2006/relationships/image" Target="media/image7.e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package" Target="embeddings/Planilha_do_Microsoft_Office_Excel2.xlsx" /><Relationship Id="rId24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package" Target="embeddings/Planilha_do_Microsoft_Office_Excel4.xlsx" /><Relationship Id="rId23" Type="http://schemas.openxmlformats.org/officeDocument/2006/relationships/package" Target="embeddings/Planilha_do_Microsoft_Office_Excel8.xlsx" /><Relationship Id="rId10" Type="http://schemas.openxmlformats.org/officeDocument/2006/relationships/image" Target="media/image2.emf" /><Relationship Id="rId19" Type="http://schemas.openxmlformats.org/officeDocument/2006/relationships/package" Target="embeddings/Planilha_do_Microsoft_Office_Excel6.xlsx" /><Relationship Id="rId4" Type="http://schemas.openxmlformats.org/officeDocument/2006/relationships/settings" Target="settings.xml" /><Relationship Id="rId9" Type="http://schemas.openxmlformats.org/officeDocument/2006/relationships/package" Target="embeddings/Planilha_do_Microsoft_Office_Excel1.xlsx" /><Relationship Id="rId14" Type="http://schemas.openxmlformats.org/officeDocument/2006/relationships/image" Target="media/image4.emf" /><Relationship Id="rId22" Type="http://schemas.openxmlformats.org/officeDocument/2006/relationships/image" Target="media/image8.emf" /><Relationship Id="rId27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3B80E4-7168-7A48-BE96-85B27ED5F5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2252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Camila Soares</cp:lastModifiedBy>
  <cp:revision>2</cp:revision>
  <cp:lastPrinted>2020-06-02T15:56:00Z</cp:lastPrinted>
  <dcterms:created xsi:type="dcterms:W3CDTF">2020-08-07T18:25:00Z</dcterms:created>
  <dcterms:modified xsi:type="dcterms:W3CDTF">2020-08-07T18:25:00Z</dcterms:modified>
</cp:coreProperties>
</file>